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298787969"/>
    <w:bookmarkStart w:id="1" w:name="_Toc298788158"/>
    <w:bookmarkStart w:id="2" w:name="_Toc298788641"/>
    <w:bookmarkStart w:id="3" w:name="_Toc305686691"/>
    <w:bookmarkStart w:id="4" w:name="_Toc306350093"/>
    <w:bookmarkStart w:id="5" w:name="_Toc306350113"/>
    <w:bookmarkStart w:id="6" w:name="_Toc331517265"/>
    <w:bookmarkStart w:id="7" w:name="_Toc245891774"/>
    <w:bookmarkStart w:id="8" w:name="_Toc238803087"/>
    <w:bookmarkStart w:id="9" w:name="_Toc238803888"/>
    <w:p w14:paraId="4677B081" w14:textId="77777777" w:rsidR="00942645" w:rsidRPr="00CA7700" w:rsidRDefault="00942645" w:rsidP="00942645">
      <w:pPr>
        <w:pStyle w:val="Titlelevel2"/>
        <w:spacing w:before="120" w:after="120"/>
        <w:jc w:val="center"/>
        <w:rPr>
          <w:rFonts w:ascii="Times New Roman" w:hAnsi="Times New Roman" w:cs="Times New Roman"/>
          <w:b/>
          <w:color w:val="auto"/>
          <w:sz w:val="24"/>
          <w:u w:val="single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F219D8" wp14:editId="23D65181">
                <wp:simplePos x="0" y="0"/>
                <wp:positionH relativeFrom="page">
                  <wp:posOffset>156210</wp:posOffset>
                </wp:positionH>
                <wp:positionV relativeFrom="page">
                  <wp:posOffset>39370</wp:posOffset>
                </wp:positionV>
                <wp:extent cx="443865" cy="443865"/>
                <wp:effectExtent l="0" t="0" r="3175" b="4445"/>
                <wp:wrapNone/>
                <wp:docPr id="3" name="Text Box 3" descr="EBH – szokásos felhasználásra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1343" w14:textId="77777777" w:rsidR="00942645" w:rsidRPr="00F07F97" w:rsidRDefault="00942645" w:rsidP="00942645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</w:rPr>
                              <w:t>EBH – szokásos felhasználásra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219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Title:  - Description: EBH – szokásos felhasználásra" style="position:absolute;left:0;text-align:left;margin-left:12.3pt;margin-top:3.1pt;width:34.95pt;height:34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" filled="f" stroked="f">
                <v:textbox style="mso-fit-shape-to-text:t" inset="20pt,15pt,0,0">
                  <w:txbxContent>
                    <w:p w14:paraId="32281343" w14:textId="77777777" w:rsidR="00942645" w:rsidRPr="00F07F97" w:rsidRDefault="00942645" w:rsidP="00942645">
                      <w:pPr>
                        <w:rPr>
                          <w:noProof/>
                          <w:color w:val="000000"/>
                          <w:sz w:val="24"/>
                          <w:rFonts w:ascii="Calibri" w:eastAsia="Calibri" w:hAnsi="Calibri" w:cs="Calibri"/>
                        </w:rPr>
                      </w:pPr>
                      <w:r>
                        <w:rPr>
                          <w:color w:val="000000"/>
                          <w:sz w:val="24"/>
                          <w:rFonts w:ascii="Calibri" w:hAnsi="Calibri"/>
                        </w:rPr>
                        <w:t xml:space="preserve">EBH – szokásos felhasználásra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/>
          <w:b/>
          <w:color w:val="auto"/>
          <w:sz w:val="24"/>
          <w:u w:val="single"/>
        </w:rPr>
        <w:t>XLII. melléklet – A hitelértékelési korrekciós kockázattal kapcsolatos nyilvánosságra hozatali táblázatok és táblák: Útmutató</w:t>
      </w:r>
    </w:p>
    <w:p w14:paraId="78BB236B" w14:textId="33A761EE" w:rsidR="00942645" w:rsidRPr="00CA7700" w:rsidRDefault="00942645" w:rsidP="00942645">
      <w:pPr>
        <w:pStyle w:val="Titlelevel2"/>
        <w:numPr>
          <w:ilvl w:val="0"/>
          <w:numId w:val="11"/>
        </w:numPr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Az intézmények az 575/2013/EU rendelet (CRR)</w:t>
      </w:r>
      <w:r w:rsidRPr="00CA7700"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445a. cikkével összhangban az említett rendelet harmadik részének VI. címében említett hitelértékelési korrekciós kockázatnak való kitettségükre vonatkozó információk nyilvánosságra hozatalakor az ezen mellékletben szereplő útmutató alapján töltik ki az EBH IT-megoldásainak XLI. melléklete szerinti, CVA-kockázattal kapcsolatos nyilvánosságra hozatali táblázatot és táblákat. </w:t>
      </w:r>
    </w:p>
    <w:p w14:paraId="3E4AC8EA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560A9B63" w14:textId="77777777" w:rsidR="00942645" w:rsidRPr="00CA7700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EU CVAA táblázat: A hitelértékelési korrekciós kockázattal kapcsolatos minőségi nyilvánosságra hozatali követelmények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Szabadon kitölthető szövegmezők </w:t>
      </w:r>
    </w:p>
    <w:p w14:paraId="6FF811C2" w14:textId="4AAED15E" w:rsidR="00942645" w:rsidRPr="00CA7700" w:rsidRDefault="00942645" w:rsidP="00942645">
      <w:pPr>
        <w:pStyle w:val="Titlelevel2"/>
        <w:numPr>
          <w:ilvl w:val="0"/>
          <w:numId w:val="11"/>
        </w:numPr>
        <w:spacing w:before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auto"/>
          <w:sz w:val="24"/>
        </w:rPr>
        <w:t>Az intézmények az 575/2013/EU rendelet 445a. cikke (1) bekezdésének a) és b) pontja alkalmazásában az alábbi útmutató alapján töltik ki az IT-megoldások XLI. melléklete szerinti EU CVAA táblázatot.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73F2590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E35CA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Jogszabályi hivatkozások és útmutató</w:t>
            </w:r>
          </w:p>
        </w:tc>
      </w:tr>
      <w:tr w:rsidR="00942645" w:rsidRPr="00CA7700" w14:paraId="337850FE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34E48CC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Sor jelölése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4B7946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3BC35DB9" w14:textId="77777777" w:rsidTr="00962254">
        <w:trPr>
          <w:trHeight w:val="680"/>
        </w:trPr>
        <w:tc>
          <w:tcPr>
            <w:tcW w:w="1384" w:type="dxa"/>
          </w:tcPr>
          <w:p w14:paraId="29C7DC98" w14:textId="3E0AC3D6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a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43DE697C" w14:textId="09014830" w:rsidR="0096186C" w:rsidRPr="00212EDF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 CRR 445a. cikke (1) bekezdésének a) pontja</w:t>
            </w:r>
          </w:p>
          <w:p w14:paraId="73666F29" w14:textId="497C6292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445a. cikke (1) bekezdésének a) pontjában előírt információk nyilvánosságra hozatalakor az intézményeknek ismertetniük kell a hitelértékelési korrekciós kockázat kezelésére szolgáló eljárásokat, beleértve az intézmény hitelértékelési korrekciós kockázatainak azonosítására, mérésére, nyomon követésére és ellenőrzésére szolgáló eljárások leírását, valamint a kockázatok fedezésére és mérséklésére vonatkozó politikáik leírását és a fedezeti ügyletek folyamatos hatékonyságának nyomon követésére szolgáló stratégiák és eljárások leírását.</w:t>
            </w:r>
          </w:p>
        </w:tc>
      </w:tr>
      <w:tr w:rsidR="00942645" w:rsidRPr="00CA7700" w14:paraId="44C53E9B" w14:textId="77777777" w:rsidTr="00962254">
        <w:trPr>
          <w:trHeight w:val="680"/>
        </w:trPr>
        <w:tc>
          <w:tcPr>
            <w:tcW w:w="1384" w:type="dxa"/>
          </w:tcPr>
          <w:p w14:paraId="50EF565A" w14:textId="3E07C222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b</w:t>
            </w:r>
            <w:r w:rsidR="003F773A">
              <w:t>.</w:t>
            </w:r>
          </w:p>
        </w:tc>
        <w:tc>
          <w:tcPr>
            <w:tcW w:w="7655" w:type="dxa"/>
          </w:tcPr>
          <w:p w14:paraId="14FA373F" w14:textId="1A83FE77" w:rsidR="0096186C" w:rsidRPr="00212EDF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 CRR 445a. cikke (1) bekezdésének b) pontja</w:t>
            </w:r>
          </w:p>
          <w:p w14:paraId="08D093DD" w14:textId="666A3EDB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575/2013/EU rendelet 445a. cikke (1) bekezdésének b) pontjában előírt információk nyilvánosságra hozatalakor az intézményeknek ki kell fejteniük, hogy teljesülnek-e az 575/2013/EU rendelet 273a. cikkének (2) bekezdésében meghatározott feltételek, és ha igen, azt, hogy az intézmény úgy döntött-e, hogy a CVA-kockázatra vonatkozó szavatolótőke-követelményt az 575/2013/EU rendelet 385. cikkében meghatározott egyszerűsített módszerrel számítja ki; amennyiben az intézmények úgy döntöttek, hogy a CVA-kockázathoz kapcsolódó szavatolótőke-követelményt az egyszerűsített módszerrel számítják ki, a CVA-kockázathoz kapcsolódó szavatolótőke-követelmény kiszámítása e módszer alapján. </w:t>
            </w:r>
          </w:p>
        </w:tc>
      </w:tr>
    </w:tbl>
    <w:p w14:paraId="5DFF986C" w14:textId="77777777" w:rsidR="00942645" w:rsidRPr="003F773A" w:rsidRDefault="00942645" w:rsidP="00942645">
      <w:pPr>
        <w:pStyle w:val="Titlelevel2"/>
        <w:spacing w:before="120" w:after="120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p w14:paraId="31875874" w14:textId="54D7739A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lastRenderedPageBreak/>
        <w:t xml:space="preserve">EU CVA1 tábla – A csökkentett alapmódszer (R-BA) szerinti hitelértékelési korrekciós kockázat </w:t>
      </w:r>
      <w:r>
        <w:rPr>
          <w:rFonts w:ascii="Times New Roman" w:hAnsi="Times New Roman"/>
          <w:color w:val="auto"/>
          <w:sz w:val="24"/>
        </w:rPr>
        <w:t>Kötött formátum</w:t>
      </w:r>
    </w:p>
    <w:p w14:paraId="30591F3A" w14:textId="450864D5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sz w:val="24"/>
        </w:rPr>
        <w:t>Az intézmények az 575/2013/EU rendelet 445a. cikke (3) bekezdésének a) pontja alkalmazásában az ezen melléklet szerinti alábbi útmutató alapján töltik ki az IT-megoldások XLI. melléklete szerinti EU CVA1 táblát.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453183D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FB9AD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Jogszabályi hivatkozások és útmutató</w:t>
            </w:r>
          </w:p>
        </w:tc>
      </w:tr>
      <w:tr w:rsidR="00942645" w:rsidRPr="00CA7700" w14:paraId="5B11034B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2D58F57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Sor száma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5E8B267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2FEBD55E" w14:textId="77777777" w:rsidTr="00962254">
        <w:trPr>
          <w:trHeight w:val="680"/>
        </w:trPr>
        <w:tc>
          <w:tcPr>
            <w:tcW w:w="1384" w:type="dxa"/>
          </w:tcPr>
          <w:p w14:paraId="36B837FA" w14:textId="4AAF6094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  <w:r w:rsidR="003F773A">
              <w:t>.</w:t>
            </w:r>
          </w:p>
        </w:tc>
        <w:tc>
          <w:tcPr>
            <w:tcW w:w="7655" w:type="dxa"/>
          </w:tcPr>
          <w:p w14:paraId="54484298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 CVA-kockázat szisztematikus elemeinek összesítése </w:t>
            </w:r>
          </w:p>
          <w:p w14:paraId="732F93B6" w14:textId="4D694000" w:rsidR="00942645" w:rsidRPr="00CA7700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384. cikkének (3) bekezdése. A szavatolótőke-követelmények komponense tökéletes korreláció feltételezésekor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vertAlign w:val="subscript"/>
                    </w:rPr>
                    <m:t>c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SCVA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</m:sSub>
                </m:e>
              </m:nary>
            </m:oMath>
            <w:r>
              <w:rPr>
                <w:rFonts w:ascii="Times New Roman" w:hAnsi="Times New Roman"/>
                <w:sz w:val="24"/>
              </w:rPr>
              <w:t>).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 0,65-ös diszkonttényezőt nem kell alkalmazni.</w:t>
            </w:r>
          </w:p>
          <w:p w14:paraId="0342ACCD" w14:textId="77777777" w:rsidR="00942645" w:rsidRPr="00CA7700" w:rsidRDefault="00942645" w:rsidP="00962254">
            <w:pPr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</w:tr>
      <w:tr w:rsidR="00942645" w:rsidRPr="00CA7700" w14:paraId="3CBFCA02" w14:textId="77777777" w:rsidTr="00962254">
        <w:trPr>
          <w:trHeight w:val="680"/>
        </w:trPr>
        <w:tc>
          <w:tcPr>
            <w:tcW w:w="1384" w:type="dxa"/>
          </w:tcPr>
          <w:p w14:paraId="05654707" w14:textId="4518D985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  <w:r w:rsidR="003F773A">
              <w:t>.</w:t>
            </w:r>
          </w:p>
        </w:tc>
        <w:tc>
          <w:tcPr>
            <w:tcW w:w="7655" w:type="dxa"/>
          </w:tcPr>
          <w:p w14:paraId="196293CA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 CVA-kockázat sajátos elemeinek összesítése </w:t>
            </w:r>
          </w:p>
          <w:p w14:paraId="75CC615B" w14:textId="674604A6" w:rsidR="00942645" w:rsidRPr="00CA7700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384. cikkének (3) bekezdése. A szavatolótőke-követelmények komponense zéró korreláció feltételezésekor 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vertAlign w:val="subscript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SCVA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c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vertAlign w:val="subscript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oMath>
            <w:r>
              <w:rPr>
                <w:rFonts w:ascii="Times New Roman" w:hAnsi="Times New Roman"/>
                <w:sz w:val="24"/>
              </w:rPr>
              <w:t>). A 0,65-ös diszkonttényezőt nem kell alkalmazni.</w:t>
            </w:r>
          </w:p>
        </w:tc>
      </w:tr>
      <w:tr w:rsidR="00942645" w:rsidRPr="00CA7700" w14:paraId="34141E36" w14:textId="77777777" w:rsidTr="00962254">
        <w:trPr>
          <w:trHeight w:val="680"/>
        </w:trPr>
        <w:tc>
          <w:tcPr>
            <w:tcW w:w="1384" w:type="dxa"/>
          </w:tcPr>
          <w:p w14:paraId="24B58293" w14:textId="655D8F4B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  <w:r w:rsidR="003F773A">
              <w:t>.</w:t>
            </w:r>
          </w:p>
        </w:tc>
        <w:tc>
          <w:tcPr>
            <w:tcW w:w="7655" w:type="dxa"/>
          </w:tcPr>
          <w:p w14:paraId="625EFEB1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Összesen </w:t>
            </w:r>
          </w:p>
          <w:p w14:paraId="715DBC77" w14:textId="042D3A66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</w:rPr>
              <w:t>A CVA-kockázatra vonatkozó teljes szavatolótőke-követelmény csökkentett alapmódszer szerinti értéke. Ez az összeg megegyezik az EU OV1 tábla EU 10b sorának c) oszlopában feltüntetett összeggel, ha az intézmény a CVA tekintetében a csökkentett alapmódszert (BA-CVA) használja.</w:t>
            </w:r>
          </w:p>
        </w:tc>
      </w:tr>
      <w:tr w:rsidR="00942645" w:rsidRPr="00CA7700" w14:paraId="495C220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7D69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Oszlop betűjele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EF6BB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2D500ECF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2D74" w14:textId="514F1121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  <w:r w:rsidR="003F773A"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817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A szavatolótőke-követelmények elemei</w:t>
            </w:r>
          </w:p>
          <w:p w14:paraId="01943208" w14:textId="2AB15DE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384. cikke (1) bekezdésének b) pontjában meghatározott feltételt teljesítő intézmény esetében az 575/2013/EU rendelet 384. cikkének (3) bekezdése szerinti szavatolótőke-követelmények elemei.</w:t>
            </w:r>
          </w:p>
        </w:tc>
      </w:tr>
    </w:tbl>
    <w:p w14:paraId="7354F3FD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D211F9F" w14:textId="47105C95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EU CVA2 tábla – Hitelértékelési korrekciós kockázat a teljes körű alapmódszer alapján (F-BA): </w:t>
      </w:r>
      <w:r>
        <w:rPr>
          <w:rFonts w:ascii="Times New Roman" w:hAnsi="Times New Roman"/>
          <w:color w:val="auto"/>
          <w:sz w:val="24"/>
        </w:rPr>
        <w:t>Kötött formátum</w:t>
      </w:r>
    </w:p>
    <w:p w14:paraId="1AC6C572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sz w:val="24"/>
        </w:rPr>
        <w:t>Az intézmények az 575/2013/EU rendelet 445a. cikke (3) bekezdésének a) és b) pontja alkalmazásában az ezen melléklet szerinti alábbi útmutató alapján töltik ki a XLI. melléklet szerinti EU CVA2 táblát.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2220E6C5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601C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Jogszabályi hivatkozások és útmutató</w:t>
            </w:r>
          </w:p>
        </w:tc>
      </w:tr>
      <w:tr w:rsidR="00942645" w:rsidRPr="00CA7700" w14:paraId="7CCF4176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41C9D0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Sor jelölése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E81DE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3A8E3855" w14:textId="77777777" w:rsidTr="00962254">
        <w:trPr>
          <w:trHeight w:val="680"/>
        </w:trPr>
        <w:tc>
          <w:tcPr>
            <w:tcW w:w="1384" w:type="dxa"/>
          </w:tcPr>
          <w:p w14:paraId="360F4E78" w14:textId="6150F381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  <w:r w:rsidR="003F773A">
              <w:t>.</w:t>
            </w:r>
          </w:p>
        </w:tc>
        <w:tc>
          <w:tcPr>
            <w:tcW w:w="7655" w:type="dxa"/>
          </w:tcPr>
          <w:p w14:paraId="04421C27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 – fedezetlen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73EAD60" w14:textId="5EA45F2D" w:rsidR="00942645" w:rsidRPr="00CA7700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Az 575/2013/EU rendelet 384. cikke (1) bekezdésének b) pontjában meghatározott feltételt teljesítő intézmény esetében a 384. cikkének (3) bekezdése szerinti szavatolótőke-követelmények eleme. </w:t>
            </w:r>
          </w:p>
        </w:tc>
      </w:tr>
      <w:tr w:rsidR="00942645" w:rsidRPr="00CA7700" w14:paraId="4D01A6DA" w14:textId="77777777" w:rsidTr="00962254">
        <w:trPr>
          <w:trHeight w:val="680"/>
        </w:trPr>
        <w:tc>
          <w:tcPr>
            <w:tcW w:w="1384" w:type="dxa"/>
          </w:tcPr>
          <w:p w14:paraId="7D13E37A" w14:textId="799A97DE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lastRenderedPageBreak/>
              <w:t>2</w:t>
            </w:r>
            <w:r w:rsidR="003F773A">
              <w:t>.</w:t>
            </w:r>
          </w:p>
        </w:tc>
        <w:tc>
          <w:tcPr>
            <w:tcW w:w="7655" w:type="dxa"/>
          </w:tcPr>
          <w:p w14:paraId="7F0AADE9" w14:textId="77777777" w:rsidR="00942645" w:rsidRPr="00212EDF" w:rsidRDefault="00942645" w:rsidP="00962254">
            <w:pPr>
              <w:pStyle w:val="TableMainHeading"/>
              <w:spacing w:before="60" w:after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 – fedezett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7BEC7BE" w14:textId="56260E01" w:rsidR="00942645" w:rsidRPr="00CA7700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384. cikke (1) bekezdésének a) pontjában meghatározott feltételt teljesítő intézmény esetében a 384. cikkének (2) bekezdése szerinti szavatolótőke-követelmények eleme.</w:t>
            </w:r>
          </w:p>
        </w:tc>
      </w:tr>
      <w:tr w:rsidR="00942645" w:rsidRPr="00CA7700" w14:paraId="22AF0F68" w14:textId="77777777" w:rsidTr="00962254">
        <w:trPr>
          <w:trHeight w:val="680"/>
        </w:trPr>
        <w:tc>
          <w:tcPr>
            <w:tcW w:w="1384" w:type="dxa"/>
          </w:tcPr>
          <w:p w14:paraId="536AE970" w14:textId="3AC1111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  <w:r w:rsidR="003F773A">
              <w:t>.</w:t>
            </w:r>
          </w:p>
        </w:tc>
        <w:tc>
          <w:tcPr>
            <w:tcW w:w="7655" w:type="dxa"/>
          </w:tcPr>
          <w:p w14:paraId="478A4B46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Összesen </w:t>
            </w:r>
          </w:p>
          <w:p w14:paraId="1F769140" w14:textId="5695C89E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Az 575/2013/EU rendelet 384. cikke (1) bekezdésének a) pontjában meghatározott feltételt teljesítő intézmény esetében a teljes körű alapmódszer hatálya alá tartozó ügyleteknek a 384. cikk (2) bekezdésével összhangban számított teljes szavatolótőke-követelménye. Ez az összeg megegyezik az EU OV1 tábla EU 10b sorának c) oszlopában feltüntetett összeggel, ha az intézmény a CVA tekintetében a teljes körű alapmódszert használja.</w:t>
            </w:r>
          </w:p>
        </w:tc>
      </w:tr>
      <w:tr w:rsidR="00942645" w:rsidRPr="00CA7700" w14:paraId="49A23C27" w14:textId="77777777" w:rsidTr="00962254">
        <w:trPr>
          <w:trHeight w:val="680"/>
        </w:trPr>
        <w:tc>
          <w:tcPr>
            <w:tcW w:w="1384" w:type="dxa"/>
          </w:tcPr>
          <w:p w14:paraId="30EEC360" w14:textId="1BB9797F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4–EU 6</w:t>
            </w:r>
            <w:r w:rsidR="003F773A">
              <w:t>.</w:t>
            </w:r>
          </w:p>
        </w:tc>
        <w:tc>
          <w:tcPr>
            <w:tcW w:w="7655" w:type="dxa"/>
          </w:tcPr>
          <w:p w14:paraId="52CA155D" w14:textId="77777777" w:rsidR="00942645" w:rsidRPr="00212EDF" w:rsidRDefault="00942645" w:rsidP="0096225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CVA-kockázathoz kapcsolódó fedezetek</w:t>
            </w:r>
          </w:p>
          <w:p w14:paraId="2DA2624F" w14:textId="7777777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 xml:space="preserve">Az 575/2013/EU rendelet 386. cikke.                                                                                                                                                                                 </w:t>
            </w:r>
          </w:p>
        </w:tc>
      </w:tr>
      <w:tr w:rsidR="00942645" w:rsidRPr="00CA7700" w14:paraId="7F165970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A7AA2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Oszlop betűjele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6F8A39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132006D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863" w14:textId="3576C452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  <w:r w:rsidR="003F773A"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491" w14:textId="77777777" w:rsidR="004D0F6F" w:rsidRPr="00212EDF" w:rsidRDefault="00F94A07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Szavatolótőke-követelmények</w:t>
            </w:r>
          </w:p>
          <w:p w14:paraId="1EAAA246" w14:textId="6BD90025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Az 575/2013/EU rendelet 382. cikke.</w:t>
            </w:r>
          </w:p>
        </w:tc>
      </w:tr>
      <w:tr w:rsidR="00942645" w:rsidRPr="00CA7700" w14:paraId="4CF3202E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EF0" w14:textId="285646B2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b</w:t>
            </w:r>
            <w:r w:rsidR="003F773A"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EEF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A CVA-kockázathoz kapcsolódó fedezeti ügyletek névleges értéke</w:t>
            </w:r>
          </w:p>
          <w:p w14:paraId="6971C72E" w14:textId="002E6959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Az 575/2013/EU rendelet 386. cikkével összhangban elismert, CVA-kockázathoz kapcsolódó fedezeti ügyletek névleges értéke (bruttó összeg).</w:t>
            </w:r>
          </w:p>
        </w:tc>
      </w:tr>
    </w:tbl>
    <w:p w14:paraId="262650D7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26F81090" w14:textId="2356F62C" w:rsidR="00942645" w:rsidRPr="00CA7700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EU CVAB táblázat: A sztenderd módszert alkalmazó intézmények CVA-kockázatával kapcsolatos minőségi nyilvánosságra hozatali követelmények: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Szabadon kitölthető szövegmezők </w:t>
      </w:r>
    </w:p>
    <w:p w14:paraId="15A03098" w14:textId="5A4C11E9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auto"/>
          <w:sz w:val="24"/>
        </w:rPr>
        <w:t>Az intézmények az 575/2013/EU rendelet 445a. cikke (2) bekezdésének a) pontja alkalmazásában az alábbi útmutató alapján töltik ki az IT-megoldások XLI. melléklete szerinti EU CVAB táblázatot.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48D84649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74E740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Jogszabályi hivatkozások és útmutató</w:t>
            </w:r>
          </w:p>
        </w:tc>
      </w:tr>
      <w:tr w:rsidR="00942645" w:rsidRPr="00CA7700" w14:paraId="058ED50C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D35AA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Sor jelölése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1D077C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7FC943AA" w14:textId="77777777" w:rsidTr="00962254">
        <w:trPr>
          <w:trHeight w:val="680"/>
        </w:trPr>
        <w:tc>
          <w:tcPr>
            <w:tcW w:w="1384" w:type="dxa"/>
          </w:tcPr>
          <w:p w14:paraId="538FEE19" w14:textId="10E2EA64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a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5723498B" w14:textId="6623C4D9" w:rsidR="00942645" w:rsidRPr="00CA7700" w:rsidRDefault="00942645" w:rsidP="00C2380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575/2013/EU rendelet 445a. cikke (2) bekezdésének a) pontjában előírt információk nyilvánosságra hozatalakor az intézményeknek ismertetniük kell a belső CVA-kockázatkezelési részleg és irányítás struktúráját és szervezetét; beleértve a bank CVA-kockázatkezelési keretrendszerének leírását. </w:t>
            </w:r>
          </w:p>
        </w:tc>
      </w:tr>
      <w:tr w:rsidR="00942645" w:rsidRPr="00CA7700" w14:paraId="2C14B87C" w14:textId="77777777" w:rsidTr="00962254">
        <w:trPr>
          <w:trHeight w:val="680"/>
        </w:trPr>
        <w:tc>
          <w:tcPr>
            <w:tcW w:w="1384" w:type="dxa"/>
          </w:tcPr>
          <w:p w14:paraId="6735DFB8" w14:textId="6C46BBFE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b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18D48591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Annak ismertetése, hogy a felső vezetés hogyan vesz részt a CVA-kockázatkezelési keretrendszerben.</w:t>
            </w:r>
          </w:p>
        </w:tc>
      </w:tr>
      <w:tr w:rsidR="00942645" w:rsidRPr="00CA7700" w14:paraId="23888D51" w14:textId="77777777" w:rsidTr="00962254">
        <w:trPr>
          <w:trHeight w:val="680"/>
        </w:trPr>
        <w:tc>
          <w:tcPr>
            <w:tcW w:w="1384" w:type="dxa"/>
          </w:tcPr>
          <w:p w14:paraId="31F6385A" w14:textId="70A6EBEB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c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4DDC9D3A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CVA-kockázatkezelési keretrendszer irányításának áttekintése (dokumentáció, független ellenőrzési egységek, független felülvizsgálat, az üzletágaktól független adatgyűjtés)</w:t>
            </w:r>
          </w:p>
        </w:tc>
      </w:tr>
    </w:tbl>
    <w:p w14:paraId="48A22EB2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0E64D71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E35954E" w14:textId="05CD8C39" w:rsidR="00942645" w:rsidRPr="00CA7700" w:rsidRDefault="00942645" w:rsidP="00942645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EU CVA3 tábla – Hitelértékelési korrekciós kockázat a sztenderd módszer (SA) alapján: </w:t>
      </w:r>
      <w:r>
        <w:rPr>
          <w:rFonts w:ascii="Times New Roman" w:hAnsi="Times New Roman"/>
          <w:sz w:val="24"/>
        </w:rPr>
        <w:t>Kötött formátum</w:t>
      </w:r>
    </w:p>
    <w:p w14:paraId="18ADC674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sz w:val="24"/>
        </w:rPr>
        <w:t>Az intézmények az 575/2013/EU rendelet 445a. cikke (1) bekezdésének c) pontja, valamint 445a. cikke (2) bekezdésének b) és c) pontja alkalmazásában az ezen melléklet szerinti alábbi útmutató alapján töltik ki a XLI. melléklet szerinti EU CVA3 táblát.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51449C4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30005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Jogszabályi hivatkozások és útmutató</w:t>
            </w:r>
          </w:p>
        </w:tc>
      </w:tr>
      <w:tr w:rsidR="00942645" w:rsidRPr="00CA7700" w14:paraId="7D7672FA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2C2F2D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Sor jelölése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1AB3F4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0BAD186E" w14:textId="77777777" w:rsidTr="00962254">
        <w:trPr>
          <w:trHeight w:val="680"/>
        </w:trPr>
        <w:tc>
          <w:tcPr>
            <w:tcW w:w="1384" w:type="dxa"/>
          </w:tcPr>
          <w:p w14:paraId="4425CAC5" w14:textId="4EB57EE5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1–6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78E0BB68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Kockázati osztályok</w:t>
            </w:r>
          </w:p>
          <w:p w14:paraId="60828ECC" w14:textId="4B3E3F32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383. cikke szerinti sztenderd módszer alapján számított szavatolótőke-követelmények (SA-CVA-kockázat) elemei, beleértve az 575/2013/EU rendelet 383. cikke (2) bekezdésének 1. pontjában meghatározott kockázati osztályok szerinti bontást.</w:t>
            </w:r>
          </w:p>
        </w:tc>
      </w:tr>
      <w:tr w:rsidR="00942645" w:rsidRPr="00CA7700" w14:paraId="08B80DC9" w14:textId="77777777" w:rsidTr="00962254">
        <w:trPr>
          <w:trHeight w:val="680"/>
        </w:trPr>
        <w:tc>
          <w:tcPr>
            <w:tcW w:w="1384" w:type="dxa"/>
          </w:tcPr>
          <w:p w14:paraId="0A8EF228" w14:textId="23D20005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28EC92DE" w14:textId="02A0C77C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Kamatlábkockázat</w:t>
            </w:r>
          </w:p>
          <w:p w14:paraId="16CB1A2E" w14:textId="2B6C4833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Az 575/2013/EU rendelet 383c., 383i., 383j., 383k., 383l. és 383m. cikke. </w:t>
            </w:r>
          </w:p>
        </w:tc>
      </w:tr>
      <w:tr w:rsidR="00942645" w:rsidRPr="00CA7700" w14:paraId="66D65198" w14:textId="77777777" w:rsidTr="00962254">
        <w:trPr>
          <w:trHeight w:val="680"/>
        </w:trPr>
        <w:tc>
          <w:tcPr>
            <w:tcW w:w="1384" w:type="dxa"/>
          </w:tcPr>
          <w:p w14:paraId="17F59EE8" w14:textId="4A5777B6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44DDD750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Devizaárfolyam-kockázat </w:t>
            </w:r>
          </w:p>
          <w:p w14:paraId="0D99F846" w14:textId="21475511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383d., 383i., 383j., 383n. és 383o. cikke.</w:t>
            </w:r>
          </w:p>
        </w:tc>
      </w:tr>
      <w:tr w:rsidR="00942645" w:rsidRPr="00CA7700" w14:paraId="1E7CC2E9" w14:textId="77777777" w:rsidTr="00962254">
        <w:trPr>
          <w:trHeight w:val="680"/>
        </w:trPr>
        <w:tc>
          <w:tcPr>
            <w:tcW w:w="1384" w:type="dxa"/>
          </w:tcPr>
          <w:p w14:paraId="47052EF4" w14:textId="18986E4A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2CE70E59" w14:textId="77777777" w:rsidR="00942645" w:rsidRPr="00212EDF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Referenciahitelfelár-kockázat</w:t>
            </w:r>
          </w:p>
          <w:p w14:paraId="371E3FA7" w14:textId="67089DA8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383f., 383i., 383j., 383s. és 383u. cikke</w:t>
            </w:r>
          </w:p>
        </w:tc>
      </w:tr>
      <w:tr w:rsidR="00942645" w:rsidRPr="00CA7700" w14:paraId="63127EE0" w14:textId="77777777" w:rsidTr="00962254">
        <w:trPr>
          <w:trHeight w:val="680"/>
        </w:trPr>
        <w:tc>
          <w:tcPr>
            <w:tcW w:w="1384" w:type="dxa"/>
          </w:tcPr>
          <w:p w14:paraId="334E24EF" w14:textId="2ACBD950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4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57EBB8D1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Részvénypiaci kockázat</w:t>
            </w:r>
          </w:p>
          <w:p w14:paraId="091E1B85" w14:textId="4452A32D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383g., 383i., 383j., 383v. és 383w. cikke.</w:t>
            </w:r>
          </w:p>
        </w:tc>
      </w:tr>
      <w:tr w:rsidR="00942645" w:rsidRPr="00CA7700" w14:paraId="52C23ACC" w14:textId="77777777" w:rsidTr="00962254">
        <w:trPr>
          <w:trHeight w:val="680"/>
        </w:trPr>
        <w:tc>
          <w:tcPr>
            <w:tcW w:w="1384" w:type="dxa"/>
          </w:tcPr>
          <w:p w14:paraId="579A551B" w14:textId="695C900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5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56BFBEB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Árukockázat</w:t>
            </w:r>
          </w:p>
          <w:p w14:paraId="1503EDB0" w14:textId="5095156A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383h., 383i., 383j., 383x. és 383z. cikke.</w:t>
            </w:r>
          </w:p>
        </w:tc>
      </w:tr>
      <w:tr w:rsidR="00942645" w:rsidRPr="00CA7700" w14:paraId="7B9ACC73" w14:textId="77777777" w:rsidTr="00962254">
        <w:trPr>
          <w:trHeight w:val="680"/>
        </w:trPr>
        <w:tc>
          <w:tcPr>
            <w:tcW w:w="1384" w:type="dxa"/>
          </w:tcPr>
          <w:p w14:paraId="0056975A" w14:textId="1F0E3EB4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6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14F9191C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Partnerhez kapcsolódó hitelfelár-kockázat</w:t>
            </w:r>
          </w:p>
          <w:p w14:paraId="3345109B" w14:textId="5DC9DECF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383e., 383i., 383j., 383p., 383q. és 383r. cikke.</w:t>
            </w:r>
          </w:p>
        </w:tc>
      </w:tr>
      <w:tr w:rsidR="00942645" w:rsidRPr="00CA7700" w14:paraId="223E2B2A" w14:textId="77777777" w:rsidTr="00962254">
        <w:trPr>
          <w:trHeight w:val="680"/>
        </w:trPr>
        <w:tc>
          <w:tcPr>
            <w:tcW w:w="1384" w:type="dxa"/>
          </w:tcPr>
          <w:p w14:paraId="7CA24864" w14:textId="008830EC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7</w:t>
            </w:r>
            <w:r w:rsidR="003F773A">
              <w:t>.</w:t>
            </w:r>
          </w:p>
        </w:tc>
        <w:tc>
          <w:tcPr>
            <w:tcW w:w="7655" w:type="dxa"/>
          </w:tcPr>
          <w:p w14:paraId="78C024D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Összesen</w:t>
            </w:r>
          </w:p>
          <w:p w14:paraId="7E51C6A2" w14:textId="0EF0E48B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1–6. sor összege Ez az összeg megegyezik az EU OV1 tábla EU 10a sorának c) oszlopában feltüntetett összeggel.</w:t>
            </w:r>
          </w:p>
        </w:tc>
      </w:tr>
      <w:tr w:rsidR="00942645" w:rsidRPr="00CA7700" w14:paraId="2D9384A0" w14:textId="77777777" w:rsidTr="00962254">
        <w:trPr>
          <w:trHeight w:val="680"/>
        </w:trPr>
        <w:tc>
          <w:tcPr>
            <w:tcW w:w="1384" w:type="dxa"/>
          </w:tcPr>
          <w:p w14:paraId="460ABCE7" w14:textId="03C983B0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8–EU 13</w:t>
            </w:r>
            <w:r w:rsidR="003F773A">
              <w:t>.</w:t>
            </w:r>
          </w:p>
        </w:tc>
        <w:tc>
          <w:tcPr>
            <w:tcW w:w="7655" w:type="dxa"/>
          </w:tcPr>
          <w:p w14:paraId="24FDD12C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Az ügyletek partnertípusai </w:t>
            </w:r>
          </w:p>
          <w:p w14:paraId="384E4400" w14:textId="489739D4" w:rsidR="00942645" w:rsidRPr="00212EDF" w:rsidRDefault="00942645" w:rsidP="00E60D1B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Az ügyletekben részt vevő partnerek száma típusonként bontásban az „Adatszolgáltatás – Pénzügyi információk IFRS és GAAP szerint – 2024 – 1. verzió” elnevezésű IT-megoldás V. melléklete 1. része 6. szakaszának 42–44. pontjában foglalt útmutatónak megfelelően [elérhető az EBH honlapján]. </w:t>
            </w:r>
          </w:p>
        </w:tc>
      </w:tr>
      <w:tr w:rsidR="00942645" w:rsidRPr="00CA7700" w14:paraId="52F521D6" w14:textId="77777777" w:rsidTr="00962254">
        <w:trPr>
          <w:trHeight w:val="680"/>
        </w:trPr>
        <w:tc>
          <w:tcPr>
            <w:tcW w:w="1384" w:type="dxa"/>
          </w:tcPr>
          <w:p w14:paraId="0F53B2B0" w14:textId="64CDA205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14</w:t>
            </w:r>
            <w:r w:rsidR="003F773A">
              <w:t>.</w:t>
            </w:r>
          </w:p>
        </w:tc>
        <w:tc>
          <w:tcPr>
            <w:tcW w:w="7655" w:type="dxa"/>
          </w:tcPr>
          <w:p w14:paraId="18FAC522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Összesen</w:t>
            </w:r>
          </w:p>
          <w:p w14:paraId="67696FDB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szerződő felek teljes száma (az EU 8–EU 13. sor összege).</w:t>
            </w:r>
          </w:p>
        </w:tc>
      </w:tr>
      <w:tr w:rsidR="00942645" w:rsidRPr="00CA7700" w14:paraId="3BA0F782" w14:textId="77777777" w:rsidTr="00962254">
        <w:trPr>
          <w:trHeight w:val="680"/>
        </w:trPr>
        <w:tc>
          <w:tcPr>
            <w:tcW w:w="1384" w:type="dxa"/>
          </w:tcPr>
          <w:p w14:paraId="2120038F" w14:textId="3FCD9029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15–EU 17</w:t>
            </w:r>
            <w:r w:rsidR="003F773A">
              <w:t>.</w:t>
            </w:r>
          </w:p>
        </w:tc>
        <w:tc>
          <w:tcPr>
            <w:tcW w:w="7655" w:type="dxa"/>
          </w:tcPr>
          <w:p w14:paraId="64353F3E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CVA-kockázathoz kapcsolódó fedezetek</w:t>
            </w:r>
          </w:p>
          <w:p w14:paraId="69C81380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386. cikke.</w:t>
            </w:r>
          </w:p>
        </w:tc>
      </w:tr>
      <w:tr w:rsidR="00942645" w:rsidRPr="00CA7700" w14:paraId="1FDF68F3" w14:textId="77777777" w:rsidTr="00962254">
        <w:trPr>
          <w:trHeight w:val="680"/>
        </w:trPr>
        <w:tc>
          <w:tcPr>
            <w:tcW w:w="1384" w:type="dxa"/>
          </w:tcPr>
          <w:p w14:paraId="2944002F" w14:textId="4C20568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18</w:t>
            </w:r>
            <w:r w:rsidR="003F773A">
              <w:t>.</w:t>
            </w:r>
          </w:p>
        </w:tc>
        <w:tc>
          <w:tcPr>
            <w:tcW w:w="7655" w:type="dxa"/>
          </w:tcPr>
          <w:p w14:paraId="30C7C94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Összesen</w:t>
            </w:r>
          </w:p>
          <w:p w14:paraId="7B810666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EU 15–EU 17. sor összege.</w:t>
            </w:r>
          </w:p>
        </w:tc>
      </w:tr>
      <w:tr w:rsidR="00942645" w:rsidRPr="00CA7700" w14:paraId="782C4928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9E959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Oszlop betűjele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9E894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1F604F82" w14:textId="77777777" w:rsidTr="00962254">
        <w:trPr>
          <w:trHeight w:val="680"/>
        </w:trPr>
        <w:tc>
          <w:tcPr>
            <w:tcW w:w="1384" w:type="dxa"/>
          </w:tcPr>
          <w:p w14:paraId="55FF8A1A" w14:textId="0FA44686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2B901479" w14:textId="77777777" w:rsidR="004D0F6F" w:rsidRPr="00212EDF" w:rsidRDefault="009B4C5B" w:rsidP="00962254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Szavatolótőke-követelmények</w:t>
            </w:r>
          </w:p>
          <w:p w14:paraId="1259F031" w14:textId="106FC974" w:rsidR="00942645" w:rsidRPr="00CA7700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382. cikke.</w:t>
            </w:r>
          </w:p>
        </w:tc>
      </w:tr>
      <w:tr w:rsidR="00942645" w:rsidRPr="00CA7700" w14:paraId="27C16A71" w14:textId="77777777" w:rsidTr="00962254">
        <w:trPr>
          <w:trHeight w:val="412"/>
        </w:trPr>
        <w:tc>
          <w:tcPr>
            <w:tcW w:w="1384" w:type="dxa"/>
          </w:tcPr>
          <w:p w14:paraId="4CD7018C" w14:textId="2C322F1D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b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6F633119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Partnerek száma</w:t>
            </w:r>
          </w:p>
          <w:p w14:paraId="4B5F72BC" w14:textId="48FA7F47" w:rsidR="00942645" w:rsidRPr="00CA7700" w:rsidRDefault="00942645" w:rsidP="00962254">
            <w:pPr>
              <w:pStyle w:val="TableNot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 sztenderd módszer alapján számított szavatolótőke-követelmények (SA-CVA-kockázat) számításában figyelembe vett partnerek száma az 575/2013/EU rendelet 383. cikkének (1) bekezdésében meghatározottak szerint. </w:t>
            </w:r>
          </w:p>
        </w:tc>
      </w:tr>
      <w:tr w:rsidR="00942645" w:rsidRPr="00CA7700" w14:paraId="4F7F003A" w14:textId="77777777" w:rsidTr="00962254">
        <w:trPr>
          <w:trHeight w:val="412"/>
        </w:trPr>
        <w:tc>
          <w:tcPr>
            <w:tcW w:w="1384" w:type="dxa"/>
          </w:tcPr>
          <w:p w14:paraId="421D4A37" w14:textId="1C463A5D" w:rsidR="00942645" w:rsidRPr="00CA7700" w:rsidDel="000073FA" w:rsidRDefault="00942645" w:rsidP="00962254">
            <w:pPr>
              <w:pStyle w:val="Applicationdirecte"/>
              <w:spacing w:before="60" w:after="0"/>
              <w:jc w:val="center"/>
            </w:pPr>
            <w:r>
              <w:t>EU c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78B4FFA9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 CVA-kockázathoz kapcsolódó fedezeti ügyletek névleges értéke</w:t>
            </w:r>
          </w:p>
          <w:p w14:paraId="52C0F4DF" w14:textId="77777777" w:rsidR="00942645" w:rsidRPr="00CA7700" w:rsidDel="000073FA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Az 575/2013/EU rendelet 386. cikkével összhangban elismert, CVA-kockázathoz kapcsolódó fedezeti ügyletek névleges értéke.</w:t>
            </w:r>
          </w:p>
        </w:tc>
      </w:tr>
    </w:tbl>
    <w:p w14:paraId="56389C84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54D95FED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3241D71F" w14:textId="199C00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EU CVA4 tábla – RWEA-változások bemutatása a sztenderd módszer (SA) szerinti hitelértékelési korrekciós kockázat esetében: </w:t>
      </w:r>
      <w:r>
        <w:rPr>
          <w:rFonts w:ascii="Times New Roman" w:hAnsi="Times New Roman"/>
          <w:color w:val="auto"/>
          <w:sz w:val="24"/>
        </w:rPr>
        <w:t>Kötött formátum</w:t>
      </w:r>
    </w:p>
    <w:p w14:paraId="22E699CE" w14:textId="5A78E63F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Az intézmények az 575/2013/EU rendelet 438. cikkének d) és h) pontja alkalmazásában az alábbi útmutató alapján töltik ki az IT-megoldások XLI. melléklete szerinti EU CVA4 táblát. </w:t>
      </w:r>
    </w:p>
    <w:p w14:paraId="03A729A3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Az intézmények kötelesek olyan szöveges magyarázattal kiegészíteni a táblát, amelyben kifejtik a nyilvánosságra hozatali időszak során bekövetkezett esetleges jelentős változásokat és az e változásokat mozgató fő hajtóerőket. A változások mögöttes tényezői közé tartozhatnak a kockázati szintek mozgásai, a hatókör változásai (pl. nettósítási halmazok mozgása az SA-CVA és a BA-CVA között), üzletágak/termékvonalak vagy gazdálkodó egységek megszerzése és elidegenítése, vagy devizaárfolyam-mozgások</w:t>
      </w:r>
    </w:p>
    <w:p w14:paraId="3EF515BA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C553674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F4D4C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Jogszabályi hivatkozások és útmutató</w:t>
            </w:r>
          </w:p>
        </w:tc>
      </w:tr>
      <w:tr w:rsidR="00942645" w:rsidRPr="00CA7700" w14:paraId="6B2A23D8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C16AB73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Sor száma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BC342B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CA7700" w14:paraId="3B818BBB" w14:textId="77777777" w:rsidTr="00962254">
        <w:trPr>
          <w:trHeight w:val="680"/>
        </w:trPr>
        <w:tc>
          <w:tcPr>
            <w:tcW w:w="1384" w:type="dxa"/>
          </w:tcPr>
          <w:p w14:paraId="4AAE0796" w14:textId="4D39B88F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1165D18C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Kockázattal súlyozott kitettségérték az előző nyilvánosságra hozatali időszak végén </w:t>
            </w:r>
          </w:p>
          <w:p w14:paraId="0A24A95A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Ez az összeg megegyezik az EU OV1 tábla EU 10a sorának b) oszlopában feltüntetett összeggel.</w:t>
            </w:r>
          </w:p>
        </w:tc>
      </w:tr>
      <w:tr w:rsidR="00942645" w:rsidRPr="00CA7700" w14:paraId="707CAAFF" w14:textId="77777777" w:rsidTr="00962254">
        <w:trPr>
          <w:trHeight w:val="680"/>
        </w:trPr>
        <w:tc>
          <w:tcPr>
            <w:tcW w:w="1384" w:type="dxa"/>
          </w:tcPr>
          <w:p w14:paraId="73DA5AF3" w14:textId="3A6A1752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  <w:r w:rsidR="003F773A">
              <w:t>.</w:t>
            </w:r>
          </w:p>
        </w:tc>
        <w:tc>
          <w:tcPr>
            <w:tcW w:w="7655" w:type="dxa"/>
            <w:vAlign w:val="center"/>
          </w:tcPr>
          <w:p w14:paraId="1AE00A33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Kockázattal súlyozott kitettségérték a folyó adatszolgáltatási időszak végén</w:t>
            </w:r>
          </w:p>
          <w:p w14:paraId="1FF40BFD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Ez az összeg megegyezik az EU OV1 tábla EU 10a sorának a) oszlopában feltüntetett összeggel.</w:t>
            </w:r>
          </w:p>
        </w:tc>
      </w:tr>
      <w:tr w:rsidR="00942645" w:rsidRPr="00CA7700" w14:paraId="6F869904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8DA6A" w14:textId="77777777" w:rsidR="00942645" w:rsidRPr="00CA7700" w:rsidRDefault="00942645" w:rsidP="00962254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>Oszlop betűjele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0165C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Magyarázat</w:t>
            </w:r>
          </w:p>
        </w:tc>
      </w:tr>
      <w:tr w:rsidR="00942645" w:rsidRPr="00DD6E2F" w14:paraId="2782C770" w14:textId="77777777" w:rsidTr="00962254">
        <w:trPr>
          <w:trHeight w:val="680"/>
        </w:trPr>
        <w:tc>
          <w:tcPr>
            <w:tcW w:w="1384" w:type="dxa"/>
          </w:tcPr>
          <w:p w14:paraId="19A9273D" w14:textId="130D88AC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  <w:r w:rsidR="003F773A">
              <w:t>.</w:t>
            </w:r>
          </w:p>
          <w:p w14:paraId="09532183" w14:textId="77777777" w:rsidR="00942645" w:rsidRPr="00CA7700" w:rsidRDefault="00942645" w:rsidP="00962254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  <w:tc>
          <w:tcPr>
            <w:tcW w:w="7655" w:type="dxa"/>
            <w:vAlign w:val="center"/>
          </w:tcPr>
          <w:p w14:paraId="5539439A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Kockázattal súlyozott kitettségérték</w:t>
            </w:r>
          </w:p>
          <w:p w14:paraId="10E360D0" w14:textId="4CD692C9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575/2013/EU rendelet 92. cikke (4) bekezdésének e) pontja.</w:t>
            </w:r>
          </w:p>
          <w:p w14:paraId="7E05B452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szavatolótőke-követelmény 12,5-del szorozva.</w:t>
            </w:r>
          </w:p>
          <w:p w14:paraId="3BE3A6CD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F29D9AB" w14:textId="77777777" w:rsidR="00942645" w:rsidRPr="00DD6E2F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39067FC" w14:textId="77777777" w:rsidR="00942645" w:rsidRPr="00DD6E2F" w:rsidRDefault="00942645" w:rsidP="00942645">
      <w:pPr>
        <w:rPr>
          <w:rFonts w:ascii="Times New Roman" w:hAnsi="Times New Roman" w:cs="Times New Roman"/>
          <w:sz w:val="24"/>
        </w:rPr>
      </w:pPr>
    </w:p>
    <w:p w14:paraId="01A50A67" w14:textId="0EE3B3D1" w:rsidR="00FE0C92" w:rsidRPr="00DA6D4D" w:rsidRDefault="00FE0C92" w:rsidP="00942645">
      <w:pPr>
        <w:rPr>
          <w:rFonts w:ascii="Times New Roman" w:hAnsi="Times New Roman" w:cs="Times New Roman"/>
          <w:sz w:val="24"/>
        </w:rPr>
      </w:pPr>
    </w:p>
    <w:sectPr w:rsidR="00FE0C92" w:rsidRPr="00DA6D4D" w:rsidSect="00FD46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3735" w14:textId="77777777" w:rsidR="00AC0ADB" w:rsidRDefault="00AC0ADB" w:rsidP="00A00E34">
      <w:r>
        <w:separator/>
      </w:r>
    </w:p>
    <w:p w14:paraId="161AAF51" w14:textId="77777777" w:rsidR="00AC0ADB" w:rsidRDefault="00AC0ADB"/>
  </w:endnote>
  <w:endnote w:type="continuationSeparator" w:id="0">
    <w:p w14:paraId="45641A75" w14:textId="77777777" w:rsidR="00AC0ADB" w:rsidRDefault="00AC0ADB" w:rsidP="00A00E34">
      <w:r>
        <w:continuationSeparator/>
      </w:r>
    </w:p>
    <w:p w14:paraId="2C57D894" w14:textId="77777777" w:rsidR="00AC0ADB" w:rsidRDefault="00AC0ADB"/>
  </w:endnote>
  <w:endnote w:type="continuationNotice" w:id="1">
    <w:p w14:paraId="7AC02CDA" w14:textId="77777777" w:rsidR="00AC0ADB" w:rsidRDefault="00AC0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A99" w14:textId="044710A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05FC">
      <w:rPr>
        <w:rStyle w:val="PageNumber"/>
      </w:rPr>
      <w:t>6</w:t>
    </w:r>
    <w:r>
      <w:rPr>
        <w:rStyle w:val="PageNumber"/>
      </w:rPr>
      <w:fldChar w:fldCharType="end"/>
    </w:r>
  </w:p>
  <w:p w14:paraId="6C820107" w14:textId="77777777" w:rsidR="009B1B59" w:rsidRDefault="009B1B59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5B10" w14:textId="07BCAC3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575F">
      <w:rPr>
        <w:rStyle w:val="PageNumber"/>
      </w:rPr>
      <w:t>1</w:t>
    </w:r>
    <w:r>
      <w:rPr>
        <w:rStyle w:val="PageNumber"/>
      </w:rPr>
      <w:fldChar w:fldCharType="end"/>
    </w:r>
  </w:p>
  <w:p w14:paraId="6EBA73BD" w14:textId="77777777" w:rsidR="009B1B59" w:rsidRDefault="009B1B59" w:rsidP="00610305">
    <w:pPr>
      <w:pStyle w:val="Footer"/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7F43299" wp14:editId="7E46013A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DB128B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03DB" w14:textId="77777777" w:rsidR="00AC0ADB" w:rsidRPr="00DB5E8F" w:rsidRDefault="00AC0ADB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236D24D2" w14:textId="77777777" w:rsidR="00AC0ADB" w:rsidRDefault="00AC0ADB" w:rsidP="00A00E34">
      <w:r>
        <w:continuationSeparator/>
      </w:r>
    </w:p>
    <w:p w14:paraId="2D2A5D83" w14:textId="77777777" w:rsidR="00AC0ADB" w:rsidRDefault="00AC0ADB"/>
  </w:footnote>
  <w:footnote w:type="continuationNotice" w:id="1">
    <w:p w14:paraId="6782885B" w14:textId="77777777" w:rsidR="00AC0ADB" w:rsidRDefault="00AC0ADB"/>
  </w:footnote>
  <w:footnote w:id="2">
    <w:p w14:paraId="70019A20" w14:textId="633F9DF0" w:rsidR="00942645" w:rsidRDefault="00942645" w:rsidP="00942645">
      <w:pPr>
        <w:pStyle w:val="FootnoteText"/>
      </w:pPr>
      <w:r>
        <w:rPr>
          <w:rStyle w:val="FootnoteReference"/>
        </w:rPr>
        <w:footnoteRef/>
      </w:r>
      <w:r>
        <w:t xml:space="preserve"> Az (EU) 2024/1623 rendelettel módosított 575/2013/EU európai parlamenti és tanácsi rendelet (2013. június 26.) a hitelintézetekre vonatkozó prudenciális követelményekről és a 648/2012/EU rendelet módosításáról (</w:t>
      </w:r>
      <w:hyperlink r:id="rId1" w:history="1">
        <w:r>
          <w:rPr>
            <w:rStyle w:val="Hyperlink"/>
            <w:color w:val="800080"/>
          </w:rPr>
          <w:t>HL L 176., 2013.6.27., 1. o.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(EU) 2024/1623 rendelet – HU –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78EB" w14:textId="0A1F5B85" w:rsidR="009B1B59" w:rsidRDefault="0027780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006B3B6" wp14:editId="0696A0F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7402844" name="Text Box 437402844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5F57" w14:textId="3E938AB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6B3B6" id="_x0000_t202" coordsize="21600,21600" o:spt="202" path="m,l,21600r21600,l21600,xe">
              <v:stroke joinstyle="miter"/>
              <v:path gradientshapeok="t" o:connecttype="rect"/>
            </v:shapetype>
            <v:shape id="Text Box 437402844" o:spid="_x0000_s1027" type="#_x0000_t202" alt="Title:  - Description: EBH – szokásos felhasználásra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C615F57" w14:textId="3E938AB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>[Szöveg helye]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>[Szöveg helye]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>[Szöveg helye]</w:t>
        </w:r>
      </w:sdtContent>
    </w:sdt>
  </w:p>
  <w:p w14:paraId="3AAE931B" w14:textId="77777777" w:rsidR="009B1B59" w:rsidRDefault="009B1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4088" w14:textId="0AB0615E" w:rsidR="009B1B59" w:rsidRPr="00F9452C" w:rsidRDefault="00AA0895" w:rsidP="00224D96">
    <w:pPr>
      <w:pStyle w:val="Runningtit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2C736F14" wp14:editId="2B9401FB">
              <wp:simplePos x="0" y="0"/>
              <wp:positionH relativeFrom="column">
                <wp:posOffset>-7158990</wp:posOffset>
              </wp:positionH>
              <wp:positionV relativeFrom="paragraph">
                <wp:posOffset>-2289175</wp:posOffset>
              </wp:positionV>
              <wp:extent cx="2419350" cy="1404620"/>
              <wp:effectExtent l="0" t="0" r="19050" b="158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E67B3" w14:textId="77777777" w:rsidR="00C17044" w:rsidRDefault="00C17044" w:rsidP="00C17044">
                          <w:r>
                            <w:t>Ebben a mellékletben a jogi hivatkozások a CRR 3 tervezetén alapulnak.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736F1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8" type="#_x0000_t202" style="position:absolute;margin-left:-563.7pt;margin-top:-180.25pt;width:190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">
              <v:textbox style="mso-fit-shape-to-text:t">
                <w:txbxContent>
                  <w:p w14:paraId="25AE67B3" w14:textId="77777777" w:rsidR="00C17044" w:rsidRDefault="00C17044" w:rsidP="00C17044">
                    <w:r>
                      <w:t xml:space="preserve">Ebben a mellékletben a jogi hivatkozások a CRR 3 tervezetén alapulnak.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25A4DD7" w14:textId="4A56A70C" w:rsidR="009B1B59" w:rsidRDefault="009B1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8B0" w14:textId="22F7DF3B" w:rsidR="009B1B59" w:rsidRDefault="0027780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3BB21A" wp14:editId="7ECA1E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2324849" name="Text Box 432324849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B5B15" w14:textId="0C22402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B21A" id="_x0000_t202" coordsize="21600,21600" o:spt="202" path="m,l,21600r21600,l21600,xe">
              <v:stroke joinstyle="miter"/>
              <v:path gradientshapeok="t" o:connecttype="rect"/>
            </v:shapetype>
            <v:shape id="Text Box 432324849" o:spid="_x0000_s1029" type="#_x0000_t202" alt="Title:  - Description: EBH – szokásos felhasználásra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C3B5B15" w14:textId="0C22402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running title comes here in running title style</w:t>
    </w:r>
    <w:r>
      <w:rPr>
        <w:noProof/>
      </w:rPr>
      <w:drawing>
        <wp:anchor distT="0" distB="0" distL="114300" distR="114300" simplePos="0" relativeHeight="251658243" behindDoc="1" locked="1" layoutInCell="1" allowOverlap="0" wp14:anchorId="5EAA129E" wp14:editId="3D991DAD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clsh="http://schemas.microsoft.com/office/drawing/2020/classificationShape" xmlns:a14="http://schemas.microsoft.com/office/drawing/2010/main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39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" w15:restartNumberingAfterBreak="0">
    <w:nsid w:val="2C5C0F1C"/>
    <w:multiLevelType w:val="hybridMultilevel"/>
    <w:tmpl w:val="63540D8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5775E"/>
    <w:multiLevelType w:val="hybridMultilevel"/>
    <w:tmpl w:val="D6D2F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464B"/>
    <w:multiLevelType w:val="hybridMultilevel"/>
    <w:tmpl w:val="63540D8A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61451">
    <w:abstractNumId w:val="9"/>
  </w:num>
  <w:num w:numId="2" w16cid:durableId="141965833">
    <w:abstractNumId w:val="2"/>
  </w:num>
  <w:num w:numId="3" w16cid:durableId="88088792">
    <w:abstractNumId w:val="6"/>
  </w:num>
  <w:num w:numId="4" w16cid:durableId="1307541357">
    <w:abstractNumId w:val="7"/>
  </w:num>
  <w:num w:numId="5" w16cid:durableId="1430613850">
    <w:abstractNumId w:val="12"/>
  </w:num>
  <w:num w:numId="6" w16cid:durableId="169412179">
    <w:abstractNumId w:val="1"/>
  </w:num>
  <w:num w:numId="7" w16cid:durableId="1086731042">
    <w:abstractNumId w:val="11"/>
  </w:num>
  <w:num w:numId="8" w16cid:durableId="1288317361">
    <w:abstractNumId w:val="10"/>
  </w:num>
  <w:num w:numId="9" w16cid:durableId="896210183">
    <w:abstractNumId w:val="0"/>
  </w:num>
  <w:num w:numId="10" w16cid:durableId="2042047967">
    <w:abstractNumId w:val="4"/>
  </w:num>
  <w:num w:numId="11" w16cid:durableId="109781551">
    <w:abstractNumId w:val="13"/>
  </w:num>
  <w:num w:numId="12" w16cid:durableId="536627485">
    <w:abstractNumId w:val="3"/>
  </w:num>
  <w:num w:numId="13" w16cid:durableId="1634553931">
    <w:abstractNumId w:val="8"/>
  </w:num>
  <w:num w:numId="14" w16cid:durableId="13660569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F50"/>
    <w:rsid w:val="00004006"/>
    <w:rsid w:val="00004C00"/>
    <w:rsid w:val="000056A3"/>
    <w:rsid w:val="000073FA"/>
    <w:rsid w:val="00007B41"/>
    <w:rsid w:val="00013281"/>
    <w:rsid w:val="00015DE4"/>
    <w:rsid w:val="000217A7"/>
    <w:rsid w:val="000231B7"/>
    <w:rsid w:val="0002717D"/>
    <w:rsid w:val="00027A8A"/>
    <w:rsid w:val="00027CA0"/>
    <w:rsid w:val="00030D65"/>
    <w:rsid w:val="000342B5"/>
    <w:rsid w:val="00040129"/>
    <w:rsid w:val="0004077E"/>
    <w:rsid w:val="00042D8C"/>
    <w:rsid w:val="00043699"/>
    <w:rsid w:val="000506BF"/>
    <w:rsid w:val="00052C7E"/>
    <w:rsid w:val="00060F40"/>
    <w:rsid w:val="00061962"/>
    <w:rsid w:val="00062830"/>
    <w:rsid w:val="00062937"/>
    <w:rsid w:val="00066A9A"/>
    <w:rsid w:val="000702C6"/>
    <w:rsid w:val="000741FC"/>
    <w:rsid w:val="00075A38"/>
    <w:rsid w:val="000762E4"/>
    <w:rsid w:val="000774B3"/>
    <w:rsid w:val="00083C33"/>
    <w:rsid w:val="000843CD"/>
    <w:rsid w:val="00084EED"/>
    <w:rsid w:val="000A0C89"/>
    <w:rsid w:val="000A1AF7"/>
    <w:rsid w:val="000A1C81"/>
    <w:rsid w:val="000A2565"/>
    <w:rsid w:val="000A3851"/>
    <w:rsid w:val="000A6AA0"/>
    <w:rsid w:val="000B0073"/>
    <w:rsid w:val="000B1645"/>
    <w:rsid w:val="000B2958"/>
    <w:rsid w:val="000B577F"/>
    <w:rsid w:val="000B6FE2"/>
    <w:rsid w:val="000C0FAB"/>
    <w:rsid w:val="000C12C4"/>
    <w:rsid w:val="000C288C"/>
    <w:rsid w:val="000C2FF5"/>
    <w:rsid w:val="000C3CA2"/>
    <w:rsid w:val="000C443B"/>
    <w:rsid w:val="000C5A8A"/>
    <w:rsid w:val="000C7FD8"/>
    <w:rsid w:val="000D1FC3"/>
    <w:rsid w:val="000D2C09"/>
    <w:rsid w:val="000D3626"/>
    <w:rsid w:val="000D7A44"/>
    <w:rsid w:val="000E0601"/>
    <w:rsid w:val="000E0A11"/>
    <w:rsid w:val="000E0C27"/>
    <w:rsid w:val="000E2995"/>
    <w:rsid w:val="000E6D15"/>
    <w:rsid w:val="000E6E57"/>
    <w:rsid w:val="000E7CA8"/>
    <w:rsid w:val="000F14B4"/>
    <w:rsid w:val="000F33D3"/>
    <w:rsid w:val="000F3E72"/>
    <w:rsid w:val="000F607B"/>
    <w:rsid w:val="000F6495"/>
    <w:rsid w:val="000F6FD8"/>
    <w:rsid w:val="000F7E65"/>
    <w:rsid w:val="0010293F"/>
    <w:rsid w:val="00103770"/>
    <w:rsid w:val="00105DF4"/>
    <w:rsid w:val="00106155"/>
    <w:rsid w:val="001061FA"/>
    <w:rsid w:val="0010678E"/>
    <w:rsid w:val="0011148D"/>
    <w:rsid w:val="0011517F"/>
    <w:rsid w:val="00120BFF"/>
    <w:rsid w:val="00121BB0"/>
    <w:rsid w:val="00121E46"/>
    <w:rsid w:val="0012686C"/>
    <w:rsid w:val="0013090C"/>
    <w:rsid w:val="00130FA3"/>
    <w:rsid w:val="00131C5D"/>
    <w:rsid w:val="00133A78"/>
    <w:rsid w:val="00134548"/>
    <w:rsid w:val="001359DC"/>
    <w:rsid w:val="00142ACD"/>
    <w:rsid w:val="00142DF6"/>
    <w:rsid w:val="00145D24"/>
    <w:rsid w:val="00152832"/>
    <w:rsid w:val="00154596"/>
    <w:rsid w:val="001600FC"/>
    <w:rsid w:val="00161BBB"/>
    <w:rsid w:val="0016228C"/>
    <w:rsid w:val="0016240C"/>
    <w:rsid w:val="001639AB"/>
    <w:rsid w:val="00164483"/>
    <w:rsid w:val="00164D85"/>
    <w:rsid w:val="0016737A"/>
    <w:rsid w:val="00172007"/>
    <w:rsid w:val="0017402D"/>
    <w:rsid w:val="0017446F"/>
    <w:rsid w:val="00175A35"/>
    <w:rsid w:val="00176507"/>
    <w:rsid w:val="00177CB9"/>
    <w:rsid w:val="001834D4"/>
    <w:rsid w:val="00184C36"/>
    <w:rsid w:val="00184DBF"/>
    <w:rsid w:val="00185A6A"/>
    <w:rsid w:val="0018684A"/>
    <w:rsid w:val="00192287"/>
    <w:rsid w:val="001941AA"/>
    <w:rsid w:val="00194E93"/>
    <w:rsid w:val="001A016C"/>
    <w:rsid w:val="001A0C8D"/>
    <w:rsid w:val="001A2A81"/>
    <w:rsid w:val="001A32A3"/>
    <w:rsid w:val="001A485F"/>
    <w:rsid w:val="001A5BD4"/>
    <w:rsid w:val="001A70A8"/>
    <w:rsid w:val="001B05D2"/>
    <w:rsid w:val="001B2C0D"/>
    <w:rsid w:val="001B6017"/>
    <w:rsid w:val="001B74BE"/>
    <w:rsid w:val="001B7A0B"/>
    <w:rsid w:val="001B7EB3"/>
    <w:rsid w:val="001C1FD9"/>
    <w:rsid w:val="001C5898"/>
    <w:rsid w:val="001C5BC2"/>
    <w:rsid w:val="001C76ED"/>
    <w:rsid w:val="001D0179"/>
    <w:rsid w:val="001D1571"/>
    <w:rsid w:val="001D21C1"/>
    <w:rsid w:val="001D31DA"/>
    <w:rsid w:val="001D5526"/>
    <w:rsid w:val="001D6C9A"/>
    <w:rsid w:val="001D6D9D"/>
    <w:rsid w:val="001D6E22"/>
    <w:rsid w:val="001D723A"/>
    <w:rsid w:val="001E0565"/>
    <w:rsid w:val="001E057E"/>
    <w:rsid w:val="001E08AC"/>
    <w:rsid w:val="001E1188"/>
    <w:rsid w:val="001E2AB8"/>
    <w:rsid w:val="001E3599"/>
    <w:rsid w:val="001E4698"/>
    <w:rsid w:val="001E69E6"/>
    <w:rsid w:val="001E7B53"/>
    <w:rsid w:val="001F0720"/>
    <w:rsid w:val="001F13DC"/>
    <w:rsid w:val="001F18AA"/>
    <w:rsid w:val="001F1CB9"/>
    <w:rsid w:val="001F7501"/>
    <w:rsid w:val="00201A16"/>
    <w:rsid w:val="00205139"/>
    <w:rsid w:val="00205878"/>
    <w:rsid w:val="00206BB0"/>
    <w:rsid w:val="00210E2C"/>
    <w:rsid w:val="00212EDF"/>
    <w:rsid w:val="00213D7B"/>
    <w:rsid w:val="00214DEC"/>
    <w:rsid w:val="00214F4F"/>
    <w:rsid w:val="00217B92"/>
    <w:rsid w:val="00223D0E"/>
    <w:rsid w:val="00224293"/>
    <w:rsid w:val="00224761"/>
    <w:rsid w:val="00224A3F"/>
    <w:rsid w:val="00224D96"/>
    <w:rsid w:val="00226B9B"/>
    <w:rsid w:val="002306C7"/>
    <w:rsid w:val="00232DF5"/>
    <w:rsid w:val="00234E59"/>
    <w:rsid w:val="0023633E"/>
    <w:rsid w:val="0023741B"/>
    <w:rsid w:val="00241BD8"/>
    <w:rsid w:val="0024304A"/>
    <w:rsid w:val="002434B0"/>
    <w:rsid w:val="002450CC"/>
    <w:rsid w:val="002510D0"/>
    <w:rsid w:val="00251280"/>
    <w:rsid w:val="00251512"/>
    <w:rsid w:val="00251DE4"/>
    <w:rsid w:val="00252479"/>
    <w:rsid w:val="00254CA9"/>
    <w:rsid w:val="00256D24"/>
    <w:rsid w:val="00260404"/>
    <w:rsid w:val="0026213C"/>
    <w:rsid w:val="002628B6"/>
    <w:rsid w:val="00265F47"/>
    <w:rsid w:val="00266F94"/>
    <w:rsid w:val="0027039C"/>
    <w:rsid w:val="00270ACA"/>
    <w:rsid w:val="0027418E"/>
    <w:rsid w:val="0027618C"/>
    <w:rsid w:val="00276344"/>
    <w:rsid w:val="002767AA"/>
    <w:rsid w:val="0027780B"/>
    <w:rsid w:val="002804A6"/>
    <w:rsid w:val="0028290C"/>
    <w:rsid w:val="00290DA3"/>
    <w:rsid w:val="002921F0"/>
    <w:rsid w:val="00296C53"/>
    <w:rsid w:val="00297D03"/>
    <w:rsid w:val="00297DC1"/>
    <w:rsid w:val="002A0424"/>
    <w:rsid w:val="002A0FF0"/>
    <w:rsid w:val="002A1EA1"/>
    <w:rsid w:val="002A3A19"/>
    <w:rsid w:val="002A5A3D"/>
    <w:rsid w:val="002B03F9"/>
    <w:rsid w:val="002B2D10"/>
    <w:rsid w:val="002B49DB"/>
    <w:rsid w:val="002C0DCF"/>
    <w:rsid w:val="002C2DE0"/>
    <w:rsid w:val="002C308A"/>
    <w:rsid w:val="002D1867"/>
    <w:rsid w:val="002D56B7"/>
    <w:rsid w:val="002D6BCB"/>
    <w:rsid w:val="002D794E"/>
    <w:rsid w:val="002E327A"/>
    <w:rsid w:val="002E6DC0"/>
    <w:rsid w:val="002E7F52"/>
    <w:rsid w:val="002F09E7"/>
    <w:rsid w:val="002F110A"/>
    <w:rsid w:val="002F2009"/>
    <w:rsid w:val="002F22FB"/>
    <w:rsid w:val="002F661B"/>
    <w:rsid w:val="002F6FCE"/>
    <w:rsid w:val="002F7090"/>
    <w:rsid w:val="00300859"/>
    <w:rsid w:val="00300924"/>
    <w:rsid w:val="003023DA"/>
    <w:rsid w:val="003025A8"/>
    <w:rsid w:val="003048B1"/>
    <w:rsid w:val="003062CB"/>
    <w:rsid w:val="00306353"/>
    <w:rsid w:val="00311D86"/>
    <w:rsid w:val="003129B6"/>
    <w:rsid w:val="00313821"/>
    <w:rsid w:val="00314D1B"/>
    <w:rsid w:val="00314D6E"/>
    <w:rsid w:val="0031645C"/>
    <w:rsid w:val="00320C17"/>
    <w:rsid w:val="00320E57"/>
    <w:rsid w:val="003221EF"/>
    <w:rsid w:val="00322481"/>
    <w:rsid w:val="00322C23"/>
    <w:rsid w:val="003248A2"/>
    <w:rsid w:val="00324A99"/>
    <w:rsid w:val="003266E0"/>
    <w:rsid w:val="003318B0"/>
    <w:rsid w:val="003333C5"/>
    <w:rsid w:val="00340244"/>
    <w:rsid w:val="00342529"/>
    <w:rsid w:val="00345633"/>
    <w:rsid w:val="00345981"/>
    <w:rsid w:val="00350D0D"/>
    <w:rsid w:val="0035477B"/>
    <w:rsid w:val="003569C1"/>
    <w:rsid w:val="003604AA"/>
    <w:rsid w:val="0036089C"/>
    <w:rsid w:val="003627BA"/>
    <w:rsid w:val="0036575F"/>
    <w:rsid w:val="00372BEC"/>
    <w:rsid w:val="00373BAF"/>
    <w:rsid w:val="00373E86"/>
    <w:rsid w:val="00374FD3"/>
    <w:rsid w:val="0038076A"/>
    <w:rsid w:val="0038077E"/>
    <w:rsid w:val="00385292"/>
    <w:rsid w:val="00387480"/>
    <w:rsid w:val="00392385"/>
    <w:rsid w:val="00394697"/>
    <w:rsid w:val="00395966"/>
    <w:rsid w:val="003A1224"/>
    <w:rsid w:val="003A34CB"/>
    <w:rsid w:val="003A4578"/>
    <w:rsid w:val="003A6482"/>
    <w:rsid w:val="003A7221"/>
    <w:rsid w:val="003A7A56"/>
    <w:rsid w:val="003B011B"/>
    <w:rsid w:val="003B1B0D"/>
    <w:rsid w:val="003B4C84"/>
    <w:rsid w:val="003B6056"/>
    <w:rsid w:val="003B6A5A"/>
    <w:rsid w:val="003B7D75"/>
    <w:rsid w:val="003B7F86"/>
    <w:rsid w:val="003C0305"/>
    <w:rsid w:val="003C095D"/>
    <w:rsid w:val="003C2B40"/>
    <w:rsid w:val="003C344A"/>
    <w:rsid w:val="003C6475"/>
    <w:rsid w:val="003C7467"/>
    <w:rsid w:val="003D01F8"/>
    <w:rsid w:val="003D04AB"/>
    <w:rsid w:val="003D0CE1"/>
    <w:rsid w:val="003D1ACD"/>
    <w:rsid w:val="003D2A27"/>
    <w:rsid w:val="003D6DC8"/>
    <w:rsid w:val="003D76CC"/>
    <w:rsid w:val="003D7A72"/>
    <w:rsid w:val="003E23AF"/>
    <w:rsid w:val="003E318D"/>
    <w:rsid w:val="003E39E7"/>
    <w:rsid w:val="003E5177"/>
    <w:rsid w:val="003F0789"/>
    <w:rsid w:val="003F28A7"/>
    <w:rsid w:val="003F4403"/>
    <w:rsid w:val="003F52D3"/>
    <w:rsid w:val="003F6D72"/>
    <w:rsid w:val="003F773A"/>
    <w:rsid w:val="004028C0"/>
    <w:rsid w:val="00403AA2"/>
    <w:rsid w:val="00406D59"/>
    <w:rsid w:val="00407991"/>
    <w:rsid w:val="00412567"/>
    <w:rsid w:val="004131BA"/>
    <w:rsid w:val="00417272"/>
    <w:rsid w:val="004172D1"/>
    <w:rsid w:val="00424530"/>
    <w:rsid w:val="0042486A"/>
    <w:rsid w:val="00425CE3"/>
    <w:rsid w:val="00426518"/>
    <w:rsid w:val="00431B48"/>
    <w:rsid w:val="00433C8C"/>
    <w:rsid w:val="00434252"/>
    <w:rsid w:val="0043432B"/>
    <w:rsid w:val="0043577F"/>
    <w:rsid w:val="0043675A"/>
    <w:rsid w:val="004409EF"/>
    <w:rsid w:val="004418CC"/>
    <w:rsid w:val="00441F85"/>
    <w:rsid w:val="00443D51"/>
    <w:rsid w:val="004442A4"/>
    <w:rsid w:val="004445D4"/>
    <w:rsid w:val="0044697D"/>
    <w:rsid w:val="004477A6"/>
    <w:rsid w:val="00451E45"/>
    <w:rsid w:val="00452468"/>
    <w:rsid w:val="0045301B"/>
    <w:rsid w:val="004541F3"/>
    <w:rsid w:val="00455E0E"/>
    <w:rsid w:val="004600F5"/>
    <w:rsid w:val="0046097D"/>
    <w:rsid w:val="00464BF3"/>
    <w:rsid w:val="00465925"/>
    <w:rsid w:val="0046610B"/>
    <w:rsid w:val="00466839"/>
    <w:rsid w:val="00466A4A"/>
    <w:rsid w:val="00470936"/>
    <w:rsid w:val="004719B4"/>
    <w:rsid w:val="00471CA1"/>
    <w:rsid w:val="00471CCE"/>
    <w:rsid w:val="0047368B"/>
    <w:rsid w:val="00474D9D"/>
    <w:rsid w:val="0047512D"/>
    <w:rsid w:val="00476A9A"/>
    <w:rsid w:val="0047767E"/>
    <w:rsid w:val="00480F97"/>
    <w:rsid w:val="00481A65"/>
    <w:rsid w:val="00481AC4"/>
    <w:rsid w:val="00482FB6"/>
    <w:rsid w:val="0048376A"/>
    <w:rsid w:val="00483809"/>
    <w:rsid w:val="004919C9"/>
    <w:rsid w:val="004920DA"/>
    <w:rsid w:val="0049216F"/>
    <w:rsid w:val="004935C1"/>
    <w:rsid w:val="00495403"/>
    <w:rsid w:val="004955E7"/>
    <w:rsid w:val="0049781D"/>
    <w:rsid w:val="004A2F42"/>
    <w:rsid w:val="004A48EF"/>
    <w:rsid w:val="004A5BCD"/>
    <w:rsid w:val="004A5D8B"/>
    <w:rsid w:val="004A7965"/>
    <w:rsid w:val="004B15C1"/>
    <w:rsid w:val="004B1A05"/>
    <w:rsid w:val="004B2FC0"/>
    <w:rsid w:val="004B3092"/>
    <w:rsid w:val="004B6C03"/>
    <w:rsid w:val="004B7517"/>
    <w:rsid w:val="004B7784"/>
    <w:rsid w:val="004C098A"/>
    <w:rsid w:val="004C1B19"/>
    <w:rsid w:val="004C320A"/>
    <w:rsid w:val="004C6290"/>
    <w:rsid w:val="004C6392"/>
    <w:rsid w:val="004D0F6F"/>
    <w:rsid w:val="004D3523"/>
    <w:rsid w:val="004D4296"/>
    <w:rsid w:val="004D5411"/>
    <w:rsid w:val="004D7668"/>
    <w:rsid w:val="004E405B"/>
    <w:rsid w:val="004F09DC"/>
    <w:rsid w:val="004F0AB6"/>
    <w:rsid w:val="004F5AB7"/>
    <w:rsid w:val="004F63DB"/>
    <w:rsid w:val="004F7817"/>
    <w:rsid w:val="00501BEB"/>
    <w:rsid w:val="00501CEC"/>
    <w:rsid w:val="00503FF9"/>
    <w:rsid w:val="00505066"/>
    <w:rsid w:val="00505C64"/>
    <w:rsid w:val="005105EF"/>
    <w:rsid w:val="00510D82"/>
    <w:rsid w:val="00511500"/>
    <w:rsid w:val="005125AD"/>
    <w:rsid w:val="005126F5"/>
    <w:rsid w:val="005171B3"/>
    <w:rsid w:val="00517BBF"/>
    <w:rsid w:val="00523895"/>
    <w:rsid w:val="00525C7A"/>
    <w:rsid w:val="0052763F"/>
    <w:rsid w:val="00527FB3"/>
    <w:rsid w:val="00533F26"/>
    <w:rsid w:val="00536FBE"/>
    <w:rsid w:val="005410AB"/>
    <w:rsid w:val="00541265"/>
    <w:rsid w:val="00541335"/>
    <w:rsid w:val="0054260F"/>
    <w:rsid w:val="005439FD"/>
    <w:rsid w:val="00543A44"/>
    <w:rsid w:val="00553275"/>
    <w:rsid w:val="00553DB4"/>
    <w:rsid w:val="00561663"/>
    <w:rsid w:val="00563DEC"/>
    <w:rsid w:val="00565691"/>
    <w:rsid w:val="005672ED"/>
    <w:rsid w:val="005673AC"/>
    <w:rsid w:val="00570BC9"/>
    <w:rsid w:val="00571BB6"/>
    <w:rsid w:val="00574FB1"/>
    <w:rsid w:val="00575BA7"/>
    <w:rsid w:val="00576FC0"/>
    <w:rsid w:val="00582AA7"/>
    <w:rsid w:val="005838AA"/>
    <w:rsid w:val="0058477C"/>
    <w:rsid w:val="0058568F"/>
    <w:rsid w:val="00590908"/>
    <w:rsid w:val="00591A53"/>
    <w:rsid w:val="00591C4C"/>
    <w:rsid w:val="00592DF9"/>
    <w:rsid w:val="00593D83"/>
    <w:rsid w:val="00594B24"/>
    <w:rsid w:val="00596AA4"/>
    <w:rsid w:val="005A079D"/>
    <w:rsid w:val="005A5866"/>
    <w:rsid w:val="005A6911"/>
    <w:rsid w:val="005A7992"/>
    <w:rsid w:val="005B01DA"/>
    <w:rsid w:val="005B4448"/>
    <w:rsid w:val="005B5C09"/>
    <w:rsid w:val="005B7D63"/>
    <w:rsid w:val="005C1518"/>
    <w:rsid w:val="005C3DFF"/>
    <w:rsid w:val="005C498B"/>
    <w:rsid w:val="005C590A"/>
    <w:rsid w:val="005C6101"/>
    <w:rsid w:val="005D19A9"/>
    <w:rsid w:val="005D4005"/>
    <w:rsid w:val="005D40D1"/>
    <w:rsid w:val="005D7532"/>
    <w:rsid w:val="005E1C7D"/>
    <w:rsid w:val="005E2634"/>
    <w:rsid w:val="005E4224"/>
    <w:rsid w:val="005E4920"/>
    <w:rsid w:val="005E6D2B"/>
    <w:rsid w:val="005F0534"/>
    <w:rsid w:val="005F174F"/>
    <w:rsid w:val="005F3D24"/>
    <w:rsid w:val="005F41FE"/>
    <w:rsid w:val="005F5A3E"/>
    <w:rsid w:val="005F6F2A"/>
    <w:rsid w:val="005F76FB"/>
    <w:rsid w:val="00600900"/>
    <w:rsid w:val="006017FA"/>
    <w:rsid w:val="00601D17"/>
    <w:rsid w:val="006034D4"/>
    <w:rsid w:val="00603ADA"/>
    <w:rsid w:val="006042D1"/>
    <w:rsid w:val="006059B2"/>
    <w:rsid w:val="00606B03"/>
    <w:rsid w:val="00606EE4"/>
    <w:rsid w:val="00610305"/>
    <w:rsid w:val="00610419"/>
    <w:rsid w:val="00611D91"/>
    <w:rsid w:val="00611DDB"/>
    <w:rsid w:val="00612C7B"/>
    <w:rsid w:val="006133C5"/>
    <w:rsid w:val="00615CA4"/>
    <w:rsid w:val="00620784"/>
    <w:rsid w:val="006209BD"/>
    <w:rsid w:val="006223C9"/>
    <w:rsid w:val="006224C1"/>
    <w:rsid w:val="00622726"/>
    <w:rsid w:val="00623545"/>
    <w:rsid w:val="00623C5B"/>
    <w:rsid w:val="00625C96"/>
    <w:rsid w:val="006269B7"/>
    <w:rsid w:val="00627DCB"/>
    <w:rsid w:val="00627FC1"/>
    <w:rsid w:val="006307A5"/>
    <w:rsid w:val="0063335C"/>
    <w:rsid w:val="00633DC7"/>
    <w:rsid w:val="00636E1D"/>
    <w:rsid w:val="0063793A"/>
    <w:rsid w:val="006400F5"/>
    <w:rsid w:val="0064190D"/>
    <w:rsid w:val="00644017"/>
    <w:rsid w:val="00653220"/>
    <w:rsid w:val="006533A0"/>
    <w:rsid w:val="00655112"/>
    <w:rsid w:val="006638CD"/>
    <w:rsid w:val="00663B0A"/>
    <w:rsid w:val="006641F8"/>
    <w:rsid w:val="00665FCD"/>
    <w:rsid w:val="006671A5"/>
    <w:rsid w:val="00670254"/>
    <w:rsid w:val="00670783"/>
    <w:rsid w:val="00675E0A"/>
    <w:rsid w:val="00676CF2"/>
    <w:rsid w:val="00676D73"/>
    <w:rsid w:val="00677194"/>
    <w:rsid w:val="00680674"/>
    <w:rsid w:val="00680D1E"/>
    <w:rsid w:val="00680E3F"/>
    <w:rsid w:val="00681361"/>
    <w:rsid w:val="00683B79"/>
    <w:rsid w:val="00685F5A"/>
    <w:rsid w:val="006910AF"/>
    <w:rsid w:val="00692B9F"/>
    <w:rsid w:val="006973AC"/>
    <w:rsid w:val="006A0D6A"/>
    <w:rsid w:val="006A6637"/>
    <w:rsid w:val="006A73AB"/>
    <w:rsid w:val="006B06BF"/>
    <w:rsid w:val="006B10D4"/>
    <w:rsid w:val="006B5580"/>
    <w:rsid w:val="006C186D"/>
    <w:rsid w:val="006C6A86"/>
    <w:rsid w:val="006C7BB8"/>
    <w:rsid w:val="006D0C7F"/>
    <w:rsid w:val="006D2245"/>
    <w:rsid w:val="006D42F8"/>
    <w:rsid w:val="006D5065"/>
    <w:rsid w:val="006D7393"/>
    <w:rsid w:val="006E206F"/>
    <w:rsid w:val="006E29E8"/>
    <w:rsid w:val="006E48FA"/>
    <w:rsid w:val="006E55E1"/>
    <w:rsid w:val="006E5B84"/>
    <w:rsid w:val="006F0B70"/>
    <w:rsid w:val="006F2E13"/>
    <w:rsid w:val="006F445D"/>
    <w:rsid w:val="006F4922"/>
    <w:rsid w:val="006F6F6D"/>
    <w:rsid w:val="006F72C6"/>
    <w:rsid w:val="007018D2"/>
    <w:rsid w:val="00703E4E"/>
    <w:rsid w:val="00706CF4"/>
    <w:rsid w:val="007071C6"/>
    <w:rsid w:val="00711E1C"/>
    <w:rsid w:val="00712D2C"/>
    <w:rsid w:val="00713A7D"/>
    <w:rsid w:val="00714810"/>
    <w:rsid w:val="007151EA"/>
    <w:rsid w:val="00717FE9"/>
    <w:rsid w:val="00721FBA"/>
    <w:rsid w:val="007226EB"/>
    <w:rsid w:val="00730352"/>
    <w:rsid w:val="00731F9A"/>
    <w:rsid w:val="0073246F"/>
    <w:rsid w:val="00733C3F"/>
    <w:rsid w:val="007354E5"/>
    <w:rsid w:val="007357CA"/>
    <w:rsid w:val="00736195"/>
    <w:rsid w:val="00736A3F"/>
    <w:rsid w:val="00742839"/>
    <w:rsid w:val="00743C39"/>
    <w:rsid w:val="00752608"/>
    <w:rsid w:val="00752710"/>
    <w:rsid w:val="0075400D"/>
    <w:rsid w:val="00755505"/>
    <w:rsid w:val="0076078D"/>
    <w:rsid w:val="007614BF"/>
    <w:rsid w:val="0076316D"/>
    <w:rsid w:val="00763FA2"/>
    <w:rsid w:val="0076778A"/>
    <w:rsid w:val="007710B9"/>
    <w:rsid w:val="00772993"/>
    <w:rsid w:val="007729F2"/>
    <w:rsid w:val="00780BF0"/>
    <w:rsid w:val="007815FB"/>
    <w:rsid w:val="00781D80"/>
    <w:rsid w:val="007849A0"/>
    <w:rsid w:val="00786B1B"/>
    <w:rsid w:val="00787592"/>
    <w:rsid w:val="00791DE5"/>
    <w:rsid w:val="007934A8"/>
    <w:rsid w:val="00794978"/>
    <w:rsid w:val="00795E18"/>
    <w:rsid w:val="007A0054"/>
    <w:rsid w:val="007A2A87"/>
    <w:rsid w:val="007A3415"/>
    <w:rsid w:val="007A38F2"/>
    <w:rsid w:val="007A3CAA"/>
    <w:rsid w:val="007A44A6"/>
    <w:rsid w:val="007A5353"/>
    <w:rsid w:val="007A5532"/>
    <w:rsid w:val="007A57D6"/>
    <w:rsid w:val="007A588E"/>
    <w:rsid w:val="007A6B0E"/>
    <w:rsid w:val="007B0F28"/>
    <w:rsid w:val="007B1A6B"/>
    <w:rsid w:val="007B3D63"/>
    <w:rsid w:val="007B50BA"/>
    <w:rsid w:val="007B59DF"/>
    <w:rsid w:val="007B69D6"/>
    <w:rsid w:val="007B72C6"/>
    <w:rsid w:val="007C0C36"/>
    <w:rsid w:val="007C3CD2"/>
    <w:rsid w:val="007C4FBD"/>
    <w:rsid w:val="007C55D0"/>
    <w:rsid w:val="007D0398"/>
    <w:rsid w:val="007D2FDE"/>
    <w:rsid w:val="007D4586"/>
    <w:rsid w:val="007D5D17"/>
    <w:rsid w:val="007E14C6"/>
    <w:rsid w:val="007E17FF"/>
    <w:rsid w:val="007E39E1"/>
    <w:rsid w:val="007E57CE"/>
    <w:rsid w:val="007E5E10"/>
    <w:rsid w:val="007E682F"/>
    <w:rsid w:val="007E6BF0"/>
    <w:rsid w:val="007E6DEC"/>
    <w:rsid w:val="007E702D"/>
    <w:rsid w:val="007E7246"/>
    <w:rsid w:val="007F3334"/>
    <w:rsid w:val="007F34CD"/>
    <w:rsid w:val="008033A1"/>
    <w:rsid w:val="00804563"/>
    <w:rsid w:val="008046A4"/>
    <w:rsid w:val="00804837"/>
    <w:rsid w:val="00805A13"/>
    <w:rsid w:val="008073A2"/>
    <w:rsid w:val="00807D6D"/>
    <w:rsid w:val="00807DFB"/>
    <w:rsid w:val="00810F8E"/>
    <w:rsid w:val="008123E1"/>
    <w:rsid w:val="00813BAC"/>
    <w:rsid w:val="00813CD4"/>
    <w:rsid w:val="008154B5"/>
    <w:rsid w:val="00821B9D"/>
    <w:rsid w:val="00822290"/>
    <w:rsid w:val="008229B8"/>
    <w:rsid w:val="00823FF9"/>
    <w:rsid w:val="00843082"/>
    <w:rsid w:val="00843373"/>
    <w:rsid w:val="008442B5"/>
    <w:rsid w:val="0084468C"/>
    <w:rsid w:val="00844EE2"/>
    <w:rsid w:val="008461B5"/>
    <w:rsid w:val="00846679"/>
    <w:rsid w:val="0084690A"/>
    <w:rsid w:val="00846C63"/>
    <w:rsid w:val="00846ECC"/>
    <w:rsid w:val="0085041F"/>
    <w:rsid w:val="00850CDC"/>
    <w:rsid w:val="00851DC4"/>
    <w:rsid w:val="008539BB"/>
    <w:rsid w:val="00854452"/>
    <w:rsid w:val="008552A0"/>
    <w:rsid w:val="008559E8"/>
    <w:rsid w:val="00856198"/>
    <w:rsid w:val="008564DC"/>
    <w:rsid w:val="00857E6D"/>
    <w:rsid w:val="008611E4"/>
    <w:rsid w:val="00862D23"/>
    <w:rsid w:val="00863BC3"/>
    <w:rsid w:val="00864E4F"/>
    <w:rsid w:val="00865492"/>
    <w:rsid w:val="00867CB4"/>
    <w:rsid w:val="008708AB"/>
    <w:rsid w:val="00874ED5"/>
    <w:rsid w:val="00880377"/>
    <w:rsid w:val="008810BC"/>
    <w:rsid w:val="008842C4"/>
    <w:rsid w:val="00884C95"/>
    <w:rsid w:val="00884EF0"/>
    <w:rsid w:val="008903CA"/>
    <w:rsid w:val="00890795"/>
    <w:rsid w:val="008909DA"/>
    <w:rsid w:val="00894D09"/>
    <w:rsid w:val="00897B43"/>
    <w:rsid w:val="00897CC1"/>
    <w:rsid w:val="008A13D3"/>
    <w:rsid w:val="008A2331"/>
    <w:rsid w:val="008A3B4F"/>
    <w:rsid w:val="008A40BC"/>
    <w:rsid w:val="008A4E04"/>
    <w:rsid w:val="008A571B"/>
    <w:rsid w:val="008B0845"/>
    <w:rsid w:val="008B094E"/>
    <w:rsid w:val="008B132B"/>
    <w:rsid w:val="008C05FC"/>
    <w:rsid w:val="008C1A94"/>
    <w:rsid w:val="008C27E6"/>
    <w:rsid w:val="008C3358"/>
    <w:rsid w:val="008C513F"/>
    <w:rsid w:val="008C5B82"/>
    <w:rsid w:val="008C6A4E"/>
    <w:rsid w:val="008D7CD4"/>
    <w:rsid w:val="008E3D64"/>
    <w:rsid w:val="008E5CDE"/>
    <w:rsid w:val="008E7C1C"/>
    <w:rsid w:val="008F0F53"/>
    <w:rsid w:val="008F1835"/>
    <w:rsid w:val="008F1BEA"/>
    <w:rsid w:val="008F27B9"/>
    <w:rsid w:val="008F3097"/>
    <w:rsid w:val="008F3908"/>
    <w:rsid w:val="008F44EB"/>
    <w:rsid w:val="009014B6"/>
    <w:rsid w:val="00901F9B"/>
    <w:rsid w:val="00905D8E"/>
    <w:rsid w:val="00906BC5"/>
    <w:rsid w:val="00912882"/>
    <w:rsid w:val="00912895"/>
    <w:rsid w:val="0091584F"/>
    <w:rsid w:val="00916645"/>
    <w:rsid w:val="009210DE"/>
    <w:rsid w:val="0092311E"/>
    <w:rsid w:val="00923509"/>
    <w:rsid w:val="00923D49"/>
    <w:rsid w:val="00924178"/>
    <w:rsid w:val="009273BC"/>
    <w:rsid w:val="00930C30"/>
    <w:rsid w:val="00930D31"/>
    <w:rsid w:val="0093253B"/>
    <w:rsid w:val="00933AEE"/>
    <w:rsid w:val="00935472"/>
    <w:rsid w:val="009357C9"/>
    <w:rsid w:val="00937718"/>
    <w:rsid w:val="00937854"/>
    <w:rsid w:val="0094125D"/>
    <w:rsid w:val="00942645"/>
    <w:rsid w:val="00943B87"/>
    <w:rsid w:val="00943C57"/>
    <w:rsid w:val="009448BC"/>
    <w:rsid w:val="009450B0"/>
    <w:rsid w:val="00946F9F"/>
    <w:rsid w:val="00947B78"/>
    <w:rsid w:val="00950374"/>
    <w:rsid w:val="009531CB"/>
    <w:rsid w:val="00953E50"/>
    <w:rsid w:val="009559E1"/>
    <w:rsid w:val="0096160F"/>
    <w:rsid w:val="0096186C"/>
    <w:rsid w:val="00962BEA"/>
    <w:rsid w:val="00964393"/>
    <w:rsid w:val="009644BA"/>
    <w:rsid w:val="00964B4D"/>
    <w:rsid w:val="00965B6B"/>
    <w:rsid w:val="00965B80"/>
    <w:rsid w:val="00967458"/>
    <w:rsid w:val="00971744"/>
    <w:rsid w:val="00971B4D"/>
    <w:rsid w:val="00973859"/>
    <w:rsid w:val="00974D5B"/>
    <w:rsid w:val="00976E6A"/>
    <w:rsid w:val="00982373"/>
    <w:rsid w:val="00985CC3"/>
    <w:rsid w:val="00987078"/>
    <w:rsid w:val="00990A8A"/>
    <w:rsid w:val="00991278"/>
    <w:rsid w:val="00993B1E"/>
    <w:rsid w:val="00994F04"/>
    <w:rsid w:val="009953F9"/>
    <w:rsid w:val="00997406"/>
    <w:rsid w:val="00997826"/>
    <w:rsid w:val="00997A7B"/>
    <w:rsid w:val="00997A83"/>
    <w:rsid w:val="009A0332"/>
    <w:rsid w:val="009A5D7A"/>
    <w:rsid w:val="009B033C"/>
    <w:rsid w:val="009B1B59"/>
    <w:rsid w:val="009B4C5B"/>
    <w:rsid w:val="009B7766"/>
    <w:rsid w:val="009C0642"/>
    <w:rsid w:val="009C0E7E"/>
    <w:rsid w:val="009C12C9"/>
    <w:rsid w:val="009C1CE7"/>
    <w:rsid w:val="009C3665"/>
    <w:rsid w:val="009C39EE"/>
    <w:rsid w:val="009C3A8F"/>
    <w:rsid w:val="009C5413"/>
    <w:rsid w:val="009C5DAF"/>
    <w:rsid w:val="009D434A"/>
    <w:rsid w:val="009D55F7"/>
    <w:rsid w:val="009D5711"/>
    <w:rsid w:val="009D7D01"/>
    <w:rsid w:val="009D7FCB"/>
    <w:rsid w:val="009E38A2"/>
    <w:rsid w:val="009E4107"/>
    <w:rsid w:val="009E5245"/>
    <w:rsid w:val="009E70EF"/>
    <w:rsid w:val="009E76BE"/>
    <w:rsid w:val="009E79BF"/>
    <w:rsid w:val="009F08F3"/>
    <w:rsid w:val="009F12DA"/>
    <w:rsid w:val="009F3FE6"/>
    <w:rsid w:val="009F4E0E"/>
    <w:rsid w:val="009F53AF"/>
    <w:rsid w:val="009F5B22"/>
    <w:rsid w:val="009F6FF4"/>
    <w:rsid w:val="009F7352"/>
    <w:rsid w:val="00A00793"/>
    <w:rsid w:val="00A00E34"/>
    <w:rsid w:val="00A02491"/>
    <w:rsid w:val="00A0415A"/>
    <w:rsid w:val="00A056AB"/>
    <w:rsid w:val="00A060B7"/>
    <w:rsid w:val="00A062C7"/>
    <w:rsid w:val="00A06A1A"/>
    <w:rsid w:val="00A100CE"/>
    <w:rsid w:val="00A10257"/>
    <w:rsid w:val="00A14332"/>
    <w:rsid w:val="00A17AD1"/>
    <w:rsid w:val="00A2197B"/>
    <w:rsid w:val="00A23608"/>
    <w:rsid w:val="00A25A56"/>
    <w:rsid w:val="00A27B9D"/>
    <w:rsid w:val="00A27D88"/>
    <w:rsid w:val="00A302E3"/>
    <w:rsid w:val="00A304D0"/>
    <w:rsid w:val="00A30AB0"/>
    <w:rsid w:val="00A3253E"/>
    <w:rsid w:val="00A342E8"/>
    <w:rsid w:val="00A36973"/>
    <w:rsid w:val="00A36FE2"/>
    <w:rsid w:val="00A37FED"/>
    <w:rsid w:val="00A40D41"/>
    <w:rsid w:val="00A4409F"/>
    <w:rsid w:val="00A4607D"/>
    <w:rsid w:val="00A53163"/>
    <w:rsid w:val="00A53E7F"/>
    <w:rsid w:val="00A53EC9"/>
    <w:rsid w:val="00A5705B"/>
    <w:rsid w:val="00A60B13"/>
    <w:rsid w:val="00A725D6"/>
    <w:rsid w:val="00A72C70"/>
    <w:rsid w:val="00A72C7D"/>
    <w:rsid w:val="00A74528"/>
    <w:rsid w:val="00A8000F"/>
    <w:rsid w:val="00A81586"/>
    <w:rsid w:val="00A81B96"/>
    <w:rsid w:val="00A83523"/>
    <w:rsid w:val="00A8457F"/>
    <w:rsid w:val="00A84F93"/>
    <w:rsid w:val="00A86C90"/>
    <w:rsid w:val="00A87CC2"/>
    <w:rsid w:val="00A905E9"/>
    <w:rsid w:val="00A91A51"/>
    <w:rsid w:val="00A92440"/>
    <w:rsid w:val="00A92865"/>
    <w:rsid w:val="00A93162"/>
    <w:rsid w:val="00A94A5D"/>
    <w:rsid w:val="00A97D77"/>
    <w:rsid w:val="00AA00C0"/>
    <w:rsid w:val="00AA03D6"/>
    <w:rsid w:val="00AA0895"/>
    <w:rsid w:val="00AA0E9F"/>
    <w:rsid w:val="00AA2947"/>
    <w:rsid w:val="00AA2D5E"/>
    <w:rsid w:val="00AA389B"/>
    <w:rsid w:val="00AA6023"/>
    <w:rsid w:val="00AA71FA"/>
    <w:rsid w:val="00AB104D"/>
    <w:rsid w:val="00AB2476"/>
    <w:rsid w:val="00AB2505"/>
    <w:rsid w:val="00AB2B10"/>
    <w:rsid w:val="00AB3DDB"/>
    <w:rsid w:val="00AB6E04"/>
    <w:rsid w:val="00AC0ADB"/>
    <w:rsid w:val="00AC11EE"/>
    <w:rsid w:val="00AC45A0"/>
    <w:rsid w:val="00AC4750"/>
    <w:rsid w:val="00AD0C73"/>
    <w:rsid w:val="00AD2FD9"/>
    <w:rsid w:val="00AE1A2D"/>
    <w:rsid w:val="00AE46E2"/>
    <w:rsid w:val="00AE5347"/>
    <w:rsid w:val="00AE55F6"/>
    <w:rsid w:val="00AE56DB"/>
    <w:rsid w:val="00AE5E42"/>
    <w:rsid w:val="00AE5F3C"/>
    <w:rsid w:val="00AE70FF"/>
    <w:rsid w:val="00AE79FD"/>
    <w:rsid w:val="00AF30E5"/>
    <w:rsid w:val="00AF4B4A"/>
    <w:rsid w:val="00AF52C9"/>
    <w:rsid w:val="00AF5FB0"/>
    <w:rsid w:val="00AF7442"/>
    <w:rsid w:val="00AF7F7B"/>
    <w:rsid w:val="00B03BF6"/>
    <w:rsid w:val="00B04D5C"/>
    <w:rsid w:val="00B10EE4"/>
    <w:rsid w:val="00B115D7"/>
    <w:rsid w:val="00B11EB1"/>
    <w:rsid w:val="00B13C87"/>
    <w:rsid w:val="00B14F07"/>
    <w:rsid w:val="00B1710D"/>
    <w:rsid w:val="00B213DF"/>
    <w:rsid w:val="00B21D0B"/>
    <w:rsid w:val="00B249FB"/>
    <w:rsid w:val="00B25B60"/>
    <w:rsid w:val="00B32510"/>
    <w:rsid w:val="00B34A4B"/>
    <w:rsid w:val="00B35302"/>
    <w:rsid w:val="00B3595C"/>
    <w:rsid w:val="00B36D5E"/>
    <w:rsid w:val="00B41F41"/>
    <w:rsid w:val="00B424AE"/>
    <w:rsid w:val="00B42808"/>
    <w:rsid w:val="00B43E07"/>
    <w:rsid w:val="00B50218"/>
    <w:rsid w:val="00B526A8"/>
    <w:rsid w:val="00B55FAB"/>
    <w:rsid w:val="00B56B4C"/>
    <w:rsid w:val="00B579BD"/>
    <w:rsid w:val="00B61210"/>
    <w:rsid w:val="00B63E10"/>
    <w:rsid w:val="00B66030"/>
    <w:rsid w:val="00B662F9"/>
    <w:rsid w:val="00B6734E"/>
    <w:rsid w:val="00B702CB"/>
    <w:rsid w:val="00B73040"/>
    <w:rsid w:val="00B75B00"/>
    <w:rsid w:val="00B76198"/>
    <w:rsid w:val="00B80ACA"/>
    <w:rsid w:val="00B813A4"/>
    <w:rsid w:val="00B819E3"/>
    <w:rsid w:val="00B83D9D"/>
    <w:rsid w:val="00B84529"/>
    <w:rsid w:val="00B84C30"/>
    <w:rsid w:val="00B878E1"/>
    <w:rsid w:val="00B94F96"/>
    <w:rsid w:val="00B96F7F"/>
    <w:rsid w:val="00BA25D7"/>
    <w:rsid w:val="00BA414B"/>
    <w:rsid w:val="00BB0828"/>
    <w:rsid w:val="00BB12D8"/>
    <w:rsid w:val="00BB2111"/>
    <w:rsid w:val="00BC0589"/>
    <w:rsid w:val="00BC1BBB"/>
    <w:rsid w:val="00BC3279"/>
    <w:rsid w:val="00BC59E3"/>
    <w:rsid w:val="00BC7FD2"/>
    <w:rsid w:val="00BD1E8E"/>
    <w:rsid w:val="00BD200C"/>
    <w:rsid w:val="00BD36EC"/>
    <w:rsid w:val="00BD47F0"/>
    <w:rsid w:val="00BD6316"/>
    <w:rsid w:val="00BE1BB8"/>
    <w:rsid w:val="00BE47C7"/>
    <w:rsid w:val="00BE5B8B"/>
    <w:rsid w:val="00BF00F2"/>
    <w:rsid w:val="00BF4B43"/>
    <w:rsid w:val="00BF5A15"/>
    <w:rsid w:val="00C03AE7"/>
    <w:rsid w:val="00C05D9D"/>
    <w:rsid w:val="00C06BF3"/>
    <w:rsid w:val="00C07AC6"/>
    <w:rsid w:val="00C1164E"/>
    <w:rsid w:val="00C12FA8"/>
    <w:rsid w:val="00C14801"/>
    <w:rsid w:val="00C17044"/>
    <w:rsid w:val="00C21218"/>
    <w:rsid w:val="00C2380E"/>
    <w:rsid w:val="00C23F0F"/>
    <w:rsid w:val="00C251D2"/>
    <w:rsid w:val="00C261D1"/>
    <w:rsid w:val="00C2685D"/>
    <w:rsid w:val="00C34FA6"/>
    <w:rsid w:val="00C354A5"/>
    <w:rsid w:val="00C35592"/>
    <w:rsid w:val="00C356AF"/>
    <w:rsid w:val="00C41927"/>
    <w:rsid w:val="00C41C25"/>
    <w:rsid w:val="00C423C6"/>
    <w:rsid w:val="00C439D6"/>
    <w:rsid w:val="00C43FD9"/>
    <w:rsid w:val="00C44DCC"/>
    <w:rsid w:val="00C44EB2"/>
    <w:rsid w:val="00C47E8F"/>
    <w:rsid w:val="00C51ABA"/>
    <w:rsid w:val="00C521A7"/>
    <w:rsid w:val="00C54CC8"/>
    <w:rsid w:val="00C57BC4"/>
    <w:rsid w:val="00C57EDE"/>
    <w:rsid w:val="00C60915"/>
    <w:rsid w:val="00C63A7E"/>
    <w:rsid w:val="00C63B7A"/>
    <w:rsid w:val="00C67DA4"/>
    <w:rsid w:val="00C7005A"/>
    <w:rsid w:val="00C764D4"/>
    <w:rsid w:val="00C87617"/>
    <w:rsid w:val="00C90DD3"/>
    <w:rsid w:val="00C95708"/>
    <w:rsid w:val="00C964B8"/>
    <w:rsid w:val="00CA2627"/>
    <w:rsid w:val="00CA41A8"/>
    <w:rsid w:val="00CA749E"/>
    <w:rsid w:val="00CA7700"/>
    <w:rsid w:val="00CB0067"/>
    <w:rsid w:val="00CB18B6"/>
    <w:rsid w:val="00CB1C48"/>
    <w:rsid w:val="00CB380B"/>
    <w:rsid w:val="00CB467F"/>
    <w:rsid w:val="00CB511F"/>
    <w:rsid w:val="00CB7909"/>
    <w:rsid w:val="00CC0DAC"/>
    <w:rsid w:val="00CC3E65"/>
    <w:rsid w:val="00CC7137"/>
    <w:rsid w:val="00CD11FD"/>
    <w:rsid w:val="00CD243A"/>
    <w:rsid w:val="00CD4AF7"/>
    <w:rsid w:val="00CD4C1C"/>
    <w:rsid w:val="00CD5E13"/>
    <w:rsid w:val="00CD5F69"/>
    <w:rsid w:val="00CD62D3"/>
    <w:rsid w:val="00CE10B8"/>
    <w:rsid w:val="00CE1229"/>
    <w:rsid w:val="00CE3517"/>
    <w:rsid w:val="00CE6407"/>
    <w:rsid w:val="00CE65C1"/>
    <w:rsid w:val="00CF720A"/>
    <w:rsid w:val="00D00278"/>
    <w:rsid w:val="00D00E7F"/>
    <w:rsid w:val="00D01670"/>
    <w:rsid w:val="00D0233E"/>
    <w:rsid w:val="00D024C5"/>
    <w:rsid w:val="00D04976"/>
    <w:rsid w:val="00D05C26"/>
    <w:rsid w:val="00D062AC"/>
    <w:rsid w:val="00D07969"/>
    <w:rsid w:val="00D120EF"/>
    <w:rsid w:val="00D152E7"/>
    <w:rsid w:val="00D15B3E"/>
    <w:rsid w:val="00D17AA8"/>
    <w:rsid w:val="00D20D86"/>
    <w:rsid w:val="00D21F91"/>
    <w:rsid w:val="00D22067"/>
    <w:rsid w:val="00D261F9"/>
    <w:rsid w:val="00D26269"/>
    <w:rsid w:val="00D26F4C"/>
    <w:rsid w:val="00D30BB6"/>
    <w:rsid w:val="00D30D10"/>
    <w:rsid w:val="00D32A1C"/>
    <w:rsid w:val="00D32F2E"/>
    <w:rsid w:val="00D33027"/>
    <w:rsid w:val="00D3796C"/>
    <w:rsid w:val="00D37F8C"/>
    <w:rsid w:val="00D425FA"/>
    <w:rsid w:val="00D44360"/>
    <w:rsid w:val="00D44595"/>
    <w:rsid w:val="00D50D2F"/>
    <w:rsid w:val="00D53948"/>
    <w:rsid w:val="00D549B9"/>
    <w:rsid w:val="00D557EE"/>
    <w:rsid w:val="00D56058"/>
    <w:rsid w:val="00D57D71"/>
    <w:rsid w:val="00D57F4B"/>
    <w:rsid w:val="00D61DA2"/>
    <w:rsid w:val="00D6287E"/>
    <w:rsid w:val="00D6324F"/>
    <w:rsid w:val="00D6395D"/>
    <w:rsid w:val="00D656AD"/>
    <w:rsid w:val="00D76E91"/>
    <w:rsid w:val="00D81C3B"/>
    <w:rsid w:val="00D845D4"/>
    <w:rsid w:val="00D84643"/>
    <w:rsid w:val="00D849AA"/>
    <w:rsid w:val="00D84CC9"/>
    <w:rsid w:val="00D872D1"/>
    <w:rsid w:val="00D90463"/>
    <w:rsid w:val="00D906BA"/>
    <w:rsid w:val="00D93652"/>
    <w:rsid w:val="00D93DDB"/>
    <w:rsid w:val="00D97538"/>
    <w:rsid w:val="00D97BBA"/>
    <w:rsid w:val="00DA02D6"/>
    <w:rsid w:val="00DA1988"/>
    <w:rsid w:val="00DA2E87"/>
    <w:rsid w:val="00DA4228"/>
    <w:rsid w:val="00DA44B7"/>
    <w:rsid w:val="00DA6122"/>
    <w:rsid w:val="00DA6D4D"/>
    <w:rsid w:val="00DB0727"/>
    <w:rsid w:val="00DB4809"/>
    <w:rsid w:val="00DB5E8F"/>
    <w:rsid w:val="00DB70BC"/>
    <w:rsid w:val="00DC0972"/>
    <w:rsid w:val="00DC3E99"/>
    <w:rsid w:val="00DC562A"/>
    <w:rsid w:val="00DC7C3E"/>
    <w:rsid w:val="00DD1BAA"/>
    <w:rsid w:val="00DD51C1"/>
    <w:rsid w:val="00DD6E2F"/>
    <w:rsid w:val="00DE1760"/>
    <w:rsid w:val="00DE1979"/>
    <w:rsid w:val="00DE30E0"/>
    <w:rsid w:val="00DE69D4"/>
    <w:rsid w:val="00DF2151"/>
    <w:rsid w:val="00DF3029"/>
    <w:rsid w:val="00DF7364"/>
    <w:rsid w:val="00E017E5"/>
    <w:rsid w:val="00E027E0"/>
    <w:rsid w:val="00E10499"/>
    <w:rsid w:val="00E10D35"/>
    <w:rsid w:val="00E14AA0"/>
    <w:rsid w:val="00E202F8"/>
    <w:rsid w:val="00E20324"/>
    <w:rsid w:val="00E22BCE"/>
    <w:rsid w:val="00E258D8"/>
    <w:rsid w:val="00E326FF"/>
    <w:rsid w:val="00E34B8E"/>
    <w:rsid w:val="00E361B0"/>
    <w:rsid w:val="00E374D9"/>
    <w:rsid w:val="00E37AAC"/>
    <w:rsid w:val="00E41563"/>
    <w:rsid w:val="00E42943"/>
    <w:rsid w:val="00E43903"/>
    <w:rsid w:val="00E44FA7"/>
    <w:rsid w:val="00E4695A"/>
    <w:rsid w:val="00E47207"/>
    <w:rsid w:val="00E50210"/>
    <w:rsid w:val="00E513B6"/>
    <w:rsid w:val="00E52D11"/>
    <w:rsid w:val="00E53A75"/>
    <w:rsid w:val="00E53BA2"/>
    <w:rsid w:val="00E55AB5"/>
    <w:rsid w:val="00E574A1"/>
    <w:rsid w:val="00E60D1B"/>
    <w:rsid w:val="00E61F96"/>
    <w:rsid w:val="00E62DB8"/>
    <w:rsid w:val="00E63010"/>
    <w:rsid w:val="00E653BD"/>
    <w:rsid w:val="00E65948"/>
    <w:rsid w:val="00E65A6D"/>
    <w:rsid w:val="00E677EF"/>
    <w:rsid w:val="00E679D8"/>
    <w:rsid w:val="00E7159B"/>
    <w:rsid w:val="00E71FAE"/>
    <w:rsid w:val="00E72D02"/>
    <w:rsid w:val="00E764BF"/>
    <w:rsid w:val="00E84CFD"/>
    <w:rsid w:val="00E859DF"/>
    <w:rsid w:val="00E859EF"/>
    <w:rsid w:val="00E866CC"/>
    <w:rsid w:val="00E86C84"/>
    <w:rsid w:val="00E87041"/>
    <w:rsid w:val="00E91192"/>
    <w:rsid w:val="00E93B05"/>
    <w:rsid w:val="00E94AED"/>
    <w:rsid w:val="00E95201"/>
    <w:rsid w:val="00E9631E"/>
    <w:rsid w:val="00EA1807"/>
    <w:rsid w:val="00EA2A28"/>
    <w:rsid w:val="00EA2B5D"/>
    <w:rsid w:val="00EA4947"/>
    <w:rsid w:val="00EB0321"/>
    <w:rsid w:val="00EB0731"/>
    <w:rsid w:val="00EC0C41"/>
    <w:rsid w:val="00EC11F0"/>
    <w:rsid w:val="00EC14FA"/>
    <w:rsid w:val="00EC1594"/>
    <w:rsid w:val="00EC1C8C"/>
    <w:rsid w:val="00EC2821"/>
    <w:rsid w:val="00EC3212"/>
    <w:rsid w:val="00EC41C5"/>
    <w:rsid w:val="00EC5FD5"/>
    <w:rsid w:val="00EC679E"/>
    <w:rsid w:val="00ED008A"/>
    <w:rsid w:val="00ED1AC7"/>
    <w:rsid w:val="00ED2521"/>
    <w:rsid w:val="00ED2FB9"/>
    <w:rsid w:val="00ED3BBB"/>
    <w:rsid w:val="00ED6873"/>
    <w:rsid w:val="00ED6F18"/>
    <w:rsid w:val="00ED73EF"/>
    <w:rsid w:val="00EE0C7D"/>
    <w:rsid w:val="00EE2D41"/>
    <w:rsid w:val="00EE456B"/>
    <w:rsid w:val="00EE508D"/>
    <w:rsid w:val="00EE5F4B"/>
    <w:rsid w:val="00EF20A6"/>
    <w:rsid w:val="00EF284B"/>
    <w:rsid w:val="00EF2D2E"/>
    <w:rsid w:val="00EF35BF"/>
    <w:rsid w:val="00EF381C"/>
    <w:rsid w:val="00EF3DEF"/>
    <w:rsid w:val="00EF5780"/>
    <w:rsid w:val="00EF6F05"/>
    <w:rsid w:val="00EF7C61"/>
    <w:rsid w:val="00F00C37"/>
    <w:rsid w:val="00F034AC"/>
    <w:rsid w:val="00F03879"/>
    <w:rsid w:val="00F064E1"/>
    <w:rsid w:val="00F06745"/>
    <w:rsid w:val="00F11167"/>
    <w:rsid w:val="00F12ABF"/>
    <w:rsid w:val="00F1579B"/>
    <w:rsid w:val="00F160D2"/>
    <w:rsid w:val="00F2068C"/>
    <w:rsid w:val="00F20817"/>
    <w:rsid w:val="00F20A4B"/>
    <w:rsid w:val="00F21021"/>
    <w:rsid w:val="00F2110A"/>
    <w:rsid w:val="00F25F24"/>
    <w:rsid w:val="00F2714B"/>
    <w:rsid w:val="00F27241"/>
    <w:rsid w:val="00F274EC"/>
    <w:rsid w:val="00F27C5C"/>
    <w:rsid w:val="00F327C9"/>
    <w:rsid w:val="00F33338"/>
    <w:rsid w:val="00F33E3A"/>
    <w:rsid w:val="00F46594"/>
    <w:rsid w:val="00F4748D"/>
    <w:rsid w:val="00F51143"/>
    <w:rsid w:val="00F53497"/>
    <w:rsid w:val="00F53841"/>
    <w:rsid w:val="00F53B21"/>
    <w:rsid w:val="00F5640E"/>
    <w:rsid w:val="00F612B3"/>
    <w:rsid w:val="00F65344"/>
    <w:rsid w:val="00F653FF"/>
    <w:rsid w:val="00F657C0"/>
    <w:rsid w:val="00F676C1"/>
    <w:rsid w:val="00F7064A"/>
    <w:rsid w:val="00F73AB5"/>
    <w:rsid w:val="00F73EA3"/>
    <w:rsid w:val="00F747AD"/>
    <w:rsid w:val="00F7500F"/>
    <w:rsid w:val="00F84674"/>
    <w:rsid w:val="00F86668"/>
    <w:rsid w:val="00F87C1E"/>
    <w:rsid w:val="00F87D51"/>
    <w:rsid w:val="00F87F11"/>
    <w:rsid w:val="00F91DF5"/>
    <w:rsid w:val="00F93E03"/>
    <w:rsid w:val="00F942CA"/>
    <w:rsid w:val="00F9452C"/>
    <w:rsid w:val="00F94A07"/>
    <w:rsid w:val="00F9657E"/>
    <w:rsid w:val="00FA0964"/>
    <w:rsid w:val="00FA3894"/>
    <w:rsid w:val="00FA53CB"/>
    <w:rsid w:val="00FA690F"/>
    <w:rsid w:val="00FB427D"/>
    <w:rsid w:val="00FB7206"/>
    <w:rsid w:val="00FC1D72"/>
    <w:rsid w:val="00FC2827"/>
    <w:rsid w:val="00FC40CE"/>
    <w:rsid w:val="00FC6041"/>
    <w:rsid w:val="00FC741A"/>
    <w:rsid w:val="00FD464E"/>
    <w:rsid w:val="00FD793E"/>
    <w:rsid w:val="00FE0C92"/>
    <w:rsid w:val="00FE540D"/>
    <w:rsid w:val="00FE5577"/>
    <w:rsid w:val="00FE5B17"/>
    <w:rsid w:val="00FE5EBE"/>
    <w:rsid w:val="00FF089A"/>
    <w:rsid w:val="00FF34CA"/>
    <w:rsid w:val="00FF3979"/>
    <w:rsid w:val="00FF543C"/>
    <w:rsid w:val="00FF741A"/>
    <w:rsid w:val="02AA77A1"/>
    <w:rsid w:val="03E54529"/>
    <w:rsid w:val="04311491"/>
    <w:rsid w:val="07360195"/>
    <w:rsid w:val="09DBB004"/>
    <w:rsid w:val="0AC1B339"/>
    <w:rsid w:val="0C5D839A"/>
    <w:rsid w:val="0DF953FB"/>
    <w:rsid w:val="0FA28100"/>
    <w:rsid w:val="102E20CD"/>
    <w:rsid w:val="17407AB7"/>
    <w:rsid w:val="200FA364"/>
    <w:rsid w:val="225AED24"/>
    <w:rsid w:val="234DE7F0"/>
    <w:rsid w:val="23580508"/>
    <w:rsid w:val="26E697CE"/>
    <w:rsid w:val="278254F7"/>
    <w:rsid w:val="283D5166"/>
    <w:rsid w:val="32740A28"/>
    <w:rsid w:val="33655576"/>
    <w:rsid w:val="350A7E2E"/>
    <w:rsid w:val="3AA3B322"/>
    <w:rsid w:val="3D827714"/>
    <w:rsid w:val="3DAA486B"/>
    <w:rsid w:val="4405926F"/>
    <w:rsid w:val="446A6BC8"/>
    <w:rsid w:val="457AEC61"/>
    <w:rsid w:val="48EB4280"/>
    <w:rsid w:val="49222780"/>
    <w:rsid w:val="49D5A3F4"/>
    <w:rsid w:val="4E733574"/>
    <w:rsid w:val="4F808A68"/>
    <w:rsid w:val="55A305D0"/>
    <w:rsid w:val="5B38901F"/>
    <w:rsid w:val="5C306237"/>
    <w:rsid w:val="691059AD"/>
    <w:rsid w:val="69A44978"/>
    <w:rsid w:val="771199FB"/>
    <w:rsid w:val="7802AD1E"/>
    <w:rsid w:val="78B2A812"/>
    <w:rsid w:val="7ADD5D84"/>
    <w:rsid w:val="7D7A0EF5"/>
    <w:rsid w:val="7DB0965B"/>
    <w:rsid w:val="7E50E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E8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B9F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hu-HU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U/TXT/?uri=OJ:L_202401623" TargetMode="External"/><Relationship Id="rId1" Type="http://schemas.openxmlformats.org/officeDocument/2006/relationships/hyperlink" Target="https://eur-lex.europa.eu/legal-content/HU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446E6-4F42-47C6-9BD9-B90F13FB7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F0878B-470A-4E06-AC1F-9EC44C02A893}"/>
</file>

<file path=customXml/itemProps3.xml><?xml version="1.0" encoding="utf-8"?>
<ds:datastoreItem xmlns:ds="http://schemas.openxmlformats.org/officeDocument/2006/customXml" ds:itemID="{58184DCB-9019-4D6D-B4D2-902911D62423}"/>
</file>

<file path=customXml/itemProps4.xml><?xml version="1.0" encoding="utf-8"?>
<ds:datastoreItem xmlns:ds="http://schemas.openxmlformats.org/officeDocument/2006/customXml" ds:itemID="{266A931F-7BB2-4ECD-A702-AB3F84FEBD3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1300</Words>
  <Characters>9207</Characters>
  <Application>Microsoft Office Word</Application>
  <DocSecurity>0</DocSecurity>
  <Lines>255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2024-06-07T08:09:00Z</dcterms:created>
  <dcterms:modified xsi:type="dcterms:W3CDTF">2024-10-18T07:31:00Z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2024-09-26T14:34:40Z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363807a0-c3df-4606-871c-e720967e40f1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